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6308" w:rsidRDefault="0037596E" w:rsidP="00F93B3C">
      <w:pPr>
        <w:shd w:val="clear" w:color="auto" w:fill="E7E6E6" w:themeFill="background2"/>
        <w:spacing w:after="0" w:line="276" w:lineRule="auto"/>
        <w:jc w:val="center"/>
        <w:rPr>
          <w:rFonts w:eastAsia="Times New Roman" w:cstheme="minorHAnsi"/>
          <w:b/>
          <w:bCs/>
          <w:sz w:val="28"/>
          <w:szCs w:val="28"/>
          <w:lang w:eastAsia="es-ES"/>
        </w:rPr>
      </w:pPr>
      <w:r w:rsidRPr="00100C77">
        <w:rPr>
          <w:rFonts w:eastAsia="Times New Roman" w:cstheme="minorHAnsi"/>
          <w:b/>
          <w:bCs/>
          <w:sz w:val="28"/>
          <w:szCs w:val="28"/>
          <w:lang w:eastAsia="es-ES"/>
        </w:rPr>
        <w:t xml:space="preserve">PROCEDIMIENTO DE GESTIÓN </w:t>
      </w:r>
      <w:r w:rsidR="00484A03" w:rsidRPr="00100C77">
        <w:rPr>
          <w:rFonts w:eastAsia="Times New Roman" w:cstheme="minorHAnsi"/>
          <w:b/>
          <w:bCs/>
          <w:sz w:val="28"/>
          <w:szCs w:val="28"/>
          <w:lang w:eastAsia="es-ES"/>
        </w:rPr>
        <w:t>DEL CANAL DE</w:t>
      </w:r>
      <w:r w:rsidRPr="00100C77">
        <w:rPr>
          <w:rFonts w:eastAsia="Times New Roman" w:cstheme="minorHAnsi"/>
          <w:b/>
          <w:bCs/>
          <w:sz w:val="28"/>
          <w:szCs w:val="28"/>
          <w:lang w:eastAsia="es-ES"/>
        </w:rPr>
        <w:t xml:space="preserve"> DENUNCIAS</w:t>
      </w:r>
      <w:r w:rsidR="00686308">
        <w:rPr>
          <w:rFonts w:eastAsia="Times New Roman" w:cstheme="minorHAnsi"/>
          <w:b/>
          <w:bCs/>
          <w:sz w:val="28"/>
          <w:szCs w:val="28"/>
          <w:lang w:eastAsia="es-ES"/>
        </w:rPr>
        <w:t xml:space="preserve"> </w:t>
      </w:r>
    </w:p>
    <w:p w:rsidR="00945C0F" w:rsidRDefault="00945C0F" w:rsidP="00F93B3C">
      <w:pPr>
        <w:shd w:val="clear" w:color="auto" w:fill="E7E6E6" w:themeFill="background2"/>
        <w:spacing w:after="0" w:line="276" w:lineRule="auto"/>
        <w:jc w:val="center"/>
        <w:rPr>
          <w:rFonts w:eastAsia="Times New Roman" w:cstheme="minorHAnsi"/>
          <w:b/>
          <w:bCs/>
          <w:sz w:val="28"/>
          <w:szCs w:val="28"/>
          <w:lang w:eastAsia="es-ES"/>
        </w:rPr>
      </w:pPr>
    </w:p>
    <w:p w:rsidR="008D57E3" w:rsidRDefault="008D57E3" w:rsidP="00F93B3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D57E3" w:rsidRDefault="008D57E3" w:rsidP="00F93B3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D57E3" w:rsidRPr="001E28D1" w:rsidRDefault="00417C68" w:rsidP="00F93B3C">
      <w:pPr>
        <w:pStyle w:val="Prrafodelista"/>
        <w:numPr>
          <w:ilvl w:val="0"/>
          <w:numId w:val="9"/>
        </w:numPr>
        <w:spacing w:after="0" w:line="276" w:lineRule="auto"/>
        <w:ind w:left="709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1E28D1">
        <w:rPr>
          <w:rFonts w:eastAsia="Times New Roman" w:cstheme="minorHAnsi"/>
          <w:b/>
          <w:bCs/>
          <w:sz w:val="24"/>
          <w:szCs w:val="24"/>
          <w:lang w:eastAsia="es-ES"/>
        </w:rPr>
        <w:t xml:space="preserve">OBJETO Y ÁMBITO DE APLICACIÓN </w:t>
      </w:r>
    </w:p>
    <w:p w:rsidR="000A351C" w:rsidRDefault="000A351C" w:rsidP="00F93B3C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C10727" w:rsidRDefault="000A351C" w:rsidP="00DC45EE">
      <w:pPr>
        <w:spacing w:after="0" w:line="276" w:lineRule="auto"/>
        <w:jc w:val="both"/>
      </w:pPr>
      <w:r>
        <w:t>El objeto del presente procedimiento es reglamentar</w:t>
      </w:r>
      <w:r w:rsidR="00A65692">
        <w:t xml:space="preserve"> el modo de funcionamiento del Sistema </w:t>
      </w:r>
      <w:r w:rsidR="005571E6">
        <w:t>I</w:t>
      </w:r>
      <w:r w:rsidR="00A65692">
        <w:t xml:space="preserve">nterno de </w:t>
      </w:r>
      <w:r w:rsidR="005571E6">
        <w:t>I</w:t>
      </w:r>
      <w:r w:rsidR="00A65692">
        <w:t xml:space="preserve">nformación (en adelante, </w:t>
      </w:r>
      <w:r w:rsidR="005571E6">
        <w:t xml:space="preserve">el </w:t>
      </w:r>
      <w:r w:rsidR="00A65692">
        <w:t>“</w:t>
      </w:r>
      <w:r w:rsidR="00A65692" w:rsidRPr="00A65692">
        <w:rPr>
          <w:b/>
          <w:bCs/>
        </w:rPr>
        <w:t>Canal de Denuncias</w:t>
      </w:r>
      <w:r w:rsidR="00A65692">
        <w:t xml:space="preserve">”) por medio del que se podrá comunicar, </w:t>
      </w:r>
      <w:r>
        <w:t xml:space="preserve">de forma segura y totalmente </w:t>
      </w:r>
      <w:r w:rsidR="00A65692">
        <w:t>confidencial, cualquier</w:t>
      </w:r>
      <w:r>
        <w:t xml:space="preserve"> tipo de irregularidad cometida en el seno de</w:t>
      </w:r>
      <w:r w:rsidR="00CD76C4">
        <w:t xml:space="preserve"> </w:t>
      </w:r>
      <w:r w:rsidR="00E62501">
        <w:t>Televés Corporación</w:t>
      </w:r>
      <w:r>
        <w:t xml:space="preserve">, o en su ámbito de actuación, que pudiera suponer el incumplimiento de </w:t>
      </w:r>
      <w:r w:rsidR="00C10727">
        <w:t>la Ley (nacional o internacional),</w:t>
      </w:r>
      <w:r>
        <w:t xml:space="preserve"> </w:t>
      </w:r>
      <w:r w:rsidR="00DE1860">
        <w:t>Manual de Cumplimiento Normativo,</w:t>
      </w:r>
      <w:r w:rsidR="00C10727">
        <w:t xml:space="preserve"> Código Ético,</w:t>
      </w:r>
      <w:r w:rsidR="00DE1860">
        <w:t xml:space="preserve"> Código de Conducta </w:t>
      </w:r>
      <w:r w:rsidR="00573340">
        <w:t xml:space="preserve">de </w:t>
      </w:r>
      <w:r w:rsidR="00DE1860">
        <w:t>Proveedores</w:t>
      </w:r>
      <w:r w:rsidR="00DC45EE">
        <w:t>, Derechos humanos, medio ambiente, la salud y seguridad pública, las prácticas laborales seguras</w:t>
      </w:r>
      <w:r w:rsidR="00C73193">
        <w:t xml:space="preserve">, </w:t>
      </w:r>
      <w:r w:rsidR="00DC45EE">
        <w:t>así como</w:t>
      </w:r>
      <w:r>
        <w:t xml:space="preserve"> demás normativa interna o externa a la que el mismo </w:t>
      </w:r>
      <w:r w:rsidR="00573340">
        <w:t>se encuentre</w:t>
      </w:r>
      <w:r>
        <w:t xml:space="preserve"> </w:t>
      </w:r>
      <w:r w:rsidR="00DC45EE">
        <w:t xml:space="preserve">sometido </w:t>
      </w:r>
      <w:r w:rsidR="00FE0AE9">
        <w:t xml:space="preserve">(en adelante, </w:t>
      </w:r>
      <w:r w:rsidR="00FE0AE9" w:rsidRPr="00FE0AE9">
        <w:rPr>
          <w:b/>
          <w:bCs/>
        </w:rPr>
        <w:t>“</w:t>
      </w:r>
      <w:r w:rsidR="00100C77">
        <w:rPr>
          <w:b/>
          <w:bCs/>
        </w:rPr>
        <w:t>Á</w:t>
      </w:r>
      <w:r w:rsidR="00FE0AE9" w:rsidRPr="00FE0AE9">
        <w:rPr>
          <w:b/>
          <w:bCs/>
        </w:rPr>
        <w:t xml:space="preserve">mbito </w:t>
      </w:r>
      <w:r w:rsidR="009D0CE0">
        <w:rPr>
          <w:b/>
          <w:bCs/>
        </w:rPr>
        <w:t>material del canal de</w:t>
      </w:r>
      <w:r w:rsidR="00FE0AE9" w:rsidRPr="00FE0AE9">
        <w:rPr>
          <w:b/>
          <w:bCs/>
        </w:rPr>
        <w:t xml:space="preserve"> denuncia</w:t>
      </w:r>
      <w:r w:rsidR="009D0CE0">
        <w:rPr>
          <w:b/>
          <w:bCs/>
        </w:rPr>
        <w:t>s</w:t>
      </w:r>
      <w:r w:rsidR="00FE0AE9" w:rsidRPr="00FE0AE9">
        <w:rPr>
          <w:b/>
          <w:bCs/>
        </w:rPr>
        <w:t>”</w:t>
      </w:r>
      <w:r w:rsidR="00100C77" w:rsidRPr="00100C77">
        <w:t>)</w:t>
      </w:r>
      <w:r w:rsidR="00A65692">
        <w:t xml:space="preserve">. </w:t>
      </w:r>
    </w:p>
    <w:p w:rsidR="000A351C" w:rsidRDefault="000A351C" w:rsidP="00F93B3C">
      <w:pPr>
        <w:spacing w:after="0" w:line="276" w:lineRule="auto"/>
        <w:jc w:val="both"/>
        <w:rPr>
          <w:rStyle w:val="markedcontent"/>
          <w:rFonts w:ascii="Arial" w:hAnsi="Arial" w:cs="Arial"/>
        </w:rPr>
      </w:pPr>
    </w:p>
    <w:p w:rsidR="00CB417F" w:rsidRDefault="00A65692" w:rsidP="00F93B3C">
      <w:pPr>
        <w:spacing w:after="0" w:line="276" w:lineRule="auto"/>
        <w:jc w:val="both"/>
      </w:pPr>
      <w:r w:rsidRPr="00A65692">
        <w:t xml:space="preserve">Este procedimiento resulta de aplicación </w:t>
      </w:r>
      <w:r w:rsidR="005F1E8E" w:rsidRPr="00A65692">
        <w:t xml:space="preserve">a todas las sociedades que integran </w:t>
      </w:r>
      <w:r w:rsidR="00297174">
        <w:t xml:space="preserve">la Corporación </w:t>
      </w:r>
      <w:r w:rsidR="005F1E8E">
        <w:br/>
      </w:r>
      <w:r w:rsidR="005F1E8E" w:rsidRPr="00A65692">
        <w:t>Televés</w:t>
      </w:r>
      <w:r w:rsidR="00A631A4">
        <w:t xml:space="preserve">, incluidas sus filiales extranjeras, </w:t>
      </w:r>
      <w:r w:rsidR="009D10B8">
        <w:t>con independencia de su ubicación geográfica</w:t>
      </w:r>
      <w:r w:rsidR="005F1E8E" w:rsidRPr="00A65692">
        <w:t xml:space="preserve">. </w:t>
      </w:r>
      <w:r w:rsidR="00CB417F">
        <w:t xml:space="preserve"> </w:t>
      </w:r>
      <w:r w:rsidR="005F1E8E" w:rsidRPr="00A65692">
        <w:t>A los efectos de la presente norma, se entiende por “</w:t>
      </w:r>
      <w:r w:rsidR="00E62501">
        <w:t>Televés Corporación</w:t>
      </w:r>
      <w:r w:rsidR="005F1E8E" w:rsidRPr="00A65692">
        <w:t xml:space="preserve">” </w:t>
      </w:r>
      <w:r w:rsidR="00484A03" w:rsidRPr="00A65692">
        <w:t>a</w:t>
      </w:r>
      <w:r w:rsidR="005F1E8E" w:rsidRPr="00A65692">
        <w:t xml:space="preserve"> TELCOR, S.A. (en adelante</w:t>
      </w:r>
      <w:r>
        <w:t xml:space="preserve">, </w:t>
      </w:r>
      <w:r w:rsidR="005F1E8E" w:rsidRPr="00A65692">
        <w:t>“</w:t>
      </w:r>
      <w:r w:rsidR="00E62501">
        <w:t>Televés Corporación</w:t>
      </w:r>
      <w:r w:rsidR="005F1E8E" w:rsidRPr="00A65692">
        <w:t>”</w:t>
      </w:r>
      <w:r>
        <w:t xml:space="preserve"> </w:t>
      </w:r>
      <w:r w:rsidR="005F1E8E" w:rsidRPr="00A65692">
        <w:t>o la “Sociedad”) y aquellas</w:t>
      </w:r>
      <w:r w:rsidR="00A37FB0">
        <w:t xml:space="preserve"> </w:t>
      </w:r>
      <w:r w:rsidR="005F1E8E" w:rsidRPr="00A65692">
        <w:t xml:space="preserve">sociedades en cuyo capital social </w:t>
      </w:r>
      <w:r w:rsidR="005571E6">
        <w:t>TELCOR, S.A.</w:t>
      </w:r>
      <w:r w:rsidR="005F1E8E" w:rsidRPr="00A65692">
        <w:t xml:space="preserve"> disponga,</w:t>
      </w:r>
      <w:r w:rsidR="005571E6">
        <w:t xml:space="preserve"> </w:t>
      </w:r>
      <w:r w:rsidR="005F1E8E" w:rsidRPr="00A65692">
        <w:t>de</w:t>
      </w:r>
      <w:r w:rsidR="005571E6">
        <w:t xml:space="preserve"> </w:t>
      </w:r>
      <w:r w:rsidR="005F1E8E" w:rsidRPr="00A65692">
        <w:t>forma</w:t>
      </w:r>
      <w:r w:rsidR="005571E6">
        <w:t xml:space="preserve"> </w:t>
      </w:r>
      <w:r w:rsidR="005F1E8E" w:rsidRPr="00A65692">
        <w:t>directa o indirecta,</w:t>
      </w:r>
      <w:r w:rsidR="005571E6">
        <w:t xml:space="preserve"> </w:t>
      </w:r>
      <w:r w:rsidR="005F1E8E" w:rsidRPr="00A65692">
        <w:t xml:space="preserve">de la mayoría de las acciones, participaciones o derechos </w:t>
      </w:r>
      <w:r w:rsidR="005571E6">
        <w:t>d</w:t>
      </w:r>
      <w:r w:rsidR="005F1E8E" w:rsidRPr="00A65692">
        <w:t>e voto, o en cuyo órgano</w:t>
      </w:r>
      <w:r w:rsidR="005571E6">
        <w:t xml:space="preserve"> </w:t>
      </w:r>
      <w:r w:rsidR="005F1E8E" w:rsidRPr="00A65692">
        <w:t>de gobierno o administración haya designado o tenga la facultad de designar a la</w:t>
      </w:r>
      <w:r w:rsidR="005571E6">
        <w:t xml:space="preserve"> </w:t>
      </w:r>
      <w:r w:rsidR="005F1E8E" w:rsidRPr="00A65692">
        <w:t>mayoría de sus miembros, de tal manera que controle la sociedad de forma efectiva</w:t>
      </w:r>
      <w:r>
        <w:t>.</w:t>
      </w:r>
      <w:r w:rsidR="00CB417F">
        <w:t xml:space="preserve"> </w:t>
      </w:r>
    </w:p>
    <w:p w:rsidR="00CB417F" w:rsidRDefault="00CB417F" w:rsidP="00F93B3C">
      <w:pPr>
        <w:spacing w:after="0" w:line="276" w:lineRule="auto"/>
        <w:jc w:val="both"/>
      </w:pPr>
    </w:p>
    <w:p w:rsidR="00A65692" w:rsidRDefault="00CB417F" w:rsidP="00F93B3C">
      <w:pPr>
        <w:spacing w:after="0" w:line="276" w:lineRule="auto"/>
        <w:jc w:val="both"/>
      </w:pPr>
      <w:r>
        <w:t>Las sociedades integrantes de</w:t>
      </w:r>
      <w:r w:rsidR="00CD76C4">
        <w:t xml:space="preserve"> </w:t>
      </w:r>
      <w:r w:rsidR="00E62501">
        <w:t>Televés Corporación</w:t>
      </w:r>
      <w:r>
        <w:t xml:space="preserve"> puede</w:t>
      </w:r>
      <w:r w:rsidR="00DF5C7A">
        <w:t>n</w:t>
      </w:r>
      <w:r>
        <w:t xml:space="preserve"> consultarse en el siguiente enlace: </w:t>
      </w:r>
      <w:hyperlink r:id="rId8" w:history="1">
        <w:r w:rsidRPr="00CB417F">
          <w:rPr>
            <w:rStyle w:val="Hipervnculo"/>
          </w:rPr>
          <w:t>https://televescorporation.com/corporativo/empresas/</w:t>
        </w:r>
      </w:hyperlink>
      <w:r w:rsidR="00A65692">
        <w:t xml:space="preserve"> </w:t>
      </w:r>
    </w:p>
    <w:p w:rsidR="00A631A4" w:rsidRDefault="00297174" w:rsidP="00F93B3C">
      <w:pPr>
        <w:spacing w:after="0" w:line="276" w:lineRule="auto"/>
        <w:jc w:val="both"/>
      </w:pPr>
      <w:hyperlink r:id="rId9" w:history="1">
        <w:r w:rsidR="00A631A4" w:rsidRPr="00A631A4">
          <w:rPr>
            <w:rStyle w:val="Hipervnculo"/>
          </w:rPr>
          <w:t>https://www.televes.com/es/empresa/redcomercial/inst/</w:t>
        </w:r>
      </w:hyperlink>
    </w:p>
    <w:p w:rsidR="00A65692" w:rsidRDefault="00A65692" w:rsidP="00F93B3C">
      <w:pPr>
        <w:spacing w:after="0" w:line="276" w:lineRule="auto"/>
        <w:jc w:val="both"/>
      </w:pPr>
    </w:p>
    <w:p w:rsidR="00A65692" w:rsidRPr="00A65692" w:rsidRDefault="00A65692" w:rsidP="00F93B3C">
      <w:pPr>
        <w:spacing w:after="0" w:line="276" w:lineRule="auto"/>
        <w:jc w:val="both"/>
      </w:pPr>
    </w:p>
    <w:p w:rsidR="005F1E8E" w:rsidRDefault="005F1E8E" w:rsidP="00F93B3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D57E3" w:rsidRPr="001E28D1" w:rsidRDefault="00417C68" w:rsidP="00F93B3C">
      <w:pPr>
        <w:pStyle w:val="Prrafodelista"/>
        <w:numPr>
          <w:ilvl w:val="0"/>
          <w:numId w:val="9"/>
        </w:numPr>
        <w:spacing w:after="0" w:line="276" w:lineRule="auto"/>
        <w:ind w:left="709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1E28D1">
        <w:rPr>
          <w:rFonts w:eastAsia="Times New Roman" w:cstheme="minorHAnsi"/>
          <w:b/>
          <w:bCs/>
          <w:sz w:val="24"/>
          <w:szCs w:val="24"/>
          <w:lang w:eastAsia="es-ES"/>
        </w:rPr>
        <w:t>FINALIDAD D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EL PROCEDIMIENTO </w:t>
      </w:r>
    </w:p>
    <w:p w:rsidR="00CB417F" w:rsidRDefault="00CB417F" w:rsidP="00F93B3C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FC1585" w:rsidRDefault="00CB417F" w:rsidP="00F93B3C">
      <w:pPr>
        <w:spacing w:after="0" w:line="276" w:lineRule="auto"/>
        <w:jc w:val="both"/>
      </w:pPr>
      <w:r w:rsidRPr="00E45315">
        <w:t>El Canal de Denuncias</w:t>
      </w:r>
      <w:r w:rsidR="00E45315">
        <w:t xml:space="preserve">, </w:t>
      </w:r>
      <w:r w:rsidR="00E45315" w:rsidRPr="00E45315">
        <w:t xml:space="preserve">surge </w:t>
      </w:r>
      <w:r w:rsidR="005571E6">
        <w:t>en el ámbito de los</w:t>
      </w:r>
      <w:r w:rsidR="00E45315" w:rsidRPr="00E45315">
        <w:t xml:space="preserve"> modelos de </w:t>
      </w:r>
      <w:r w:rsidR="005571E6">
        <w:t>P</w:t>
      </w:r>
      <w:r w:rsidR="00E45315" w:rsidRPr="00E45315">
        <w:t xml:space="preserve">revención de </w:t>
      </w:r>
      <w:r w:rsidR="005571E6">
        <w:t>D</w:t>
      </w:r>
      <w:r w:rsidR="00E45315" w:rsidRPr="00E45315">
        <w:t xml:space="preserve">elitos, </w:t>
      </w:r>
      <w:r w:rsidR="00FC1585">
        <w:t>S</w:t>
      </w:r>
      <w:r w:rsidR="00E45315" w:rsidRPr="00E45315">
        <w:t xml:space="preserve">istemas de </w:t>
      </w:r>
      <w:r w:rsidR="00FC1585">
        <w:t>R</w:t>
      </w:r>
      <w:r w:rsidR="00E45315" w:rsidRPr="00E45315">
        <w:t xml:space="preserve">esponsabilidad </w:t>
      </w:r>
      <w:r w:rsidR="00FC1585">
        <w:t>S</w:t>
      </w:r>
      <w:r w:rsidR="00E45315" w:rsidRPr="00E45315">
        <w:t xml:space="preserve">ocial </w:t>
      </w:r>
      <w:r w:rsidR="00FC1585">
        <w:t>C</w:t>
      </w:r>
      <w:r w:rsidR="00E45315" w:rsidRPr="00E45315">
        <w:t>orporativa</w:t>
      </w:r>
      <w:r w:rsidR="00FC1585">
        <w:t xml:space="preserve"> y Buen Gobierno,</w:t>
      </w:r>
      <w:r w:rsidR="00E45315" w:rsidRPr="00E45315">
        <w:t xml:space="preserve"> </w:t>
      </w:r>
      <w:r w:rsidR="00FC1585">
        <w:t>así como de</w:t>
      </w:r>
      <w:r w:rsidR="00E45315" w:rsidRPr="00E45315">
        <w:t xml:space="preserve"> </w:t>
      </w:r>
      <w:r w:rsidR="00E45315">
        <w:t>las recientes normativas</w:t>
      </w:r>
      <w:r w:rsidR="001C3825">
        <w:t xml:space="preserve"> (</w:t>
      </w:r>
      <w:r w:rsidR="00FC1585">
        <w:t xml:space="preserve">nacionales </w:t>
      </w:r>
      <w:r w:rsidR="001C3825">
        <w:t>y</w:t>
      </w:r>
      <w:r w:rsidR="00FC1585">
        <w:t xml:space="preserve"> comunitarias</w:t>
      </w:r>
      <w:r w:rsidR="001C3825">
        <w:t>)</w:t>
      </w:r>
      <w:r w:rsidR="00FC1585">
        <w:t xml:space="preserve"> en materia</w:t>
      </w:r>
      <w:r w:rsidR="00E45315">
        <w:t xml:space="preserve"> de </w:t>
      </w:r>
      <w:r w:rsidR="00FC1585">
        <w:t>D</w:t>
      </w:r>
      <w:r w:rsidR="00E45315">
        <w:t xml:space="preserve">iligencia </w:t>
      </w:r>
      <w:r w:rsidR="00FC1585">
        <w:t>D</w:t>
      </w:r>
      <w:r w:rsidR="00E45315">
        <w:t xml:space="preserve">ebida en la </w:t>
      </w:r>
      <w:r w:rsidR="00FC1585">
        <w:t>C</w:t>
      </w:r>
      <w:r w:rsidR="00E45315">
        <w:t xml:space="preserve">adena de </w:t>
      </w:r>
      <w:r w:rsidR="00FC1585">
        <w:t>S</w:t>
      </w:r>
      <w:r w:rsidR="00E45315">
        <w:t>uministro</w:t>
      </w:r>
      <w:r w:rsidR="00FC1585">
        <w:t xml:space="preserve">, </w:t>
      </w:r>
      <w:r w:rsidR="00E45315">
        <w:t xml:space="preserve">como el </w:t>
      </w:r>
      <w:r w:rsidR="005571E6">
        <w:t>instrumento</w:t>
      </w:r>
      <w:r w:rsidR="006B718B">
        <w:t xml:space="preserve"> </w:t>
      </w:r>
      <w:r w:rsidR="00295D7C">
        <w:t>habilitado por</w:t>
      </w:r>
      <w:r w:rsidR="006B718B">
        <w:t xml:space="preserve"> la empresa </w:t>
      </w:r>
      <w:r w:rsidR="00295D7C">
        <w:t>para</w:t>
      </w:r>
      <w:r w:rsidR="00F851D3">
        <w:t xml:space="preserve"> </w:t>
      </w:r>
      <w:proofErr w:type="spellStart"/>
      <w:r w:rsidR="00F851D3">
        <w:t>recepcionar</w:t>
      </w:r>
      <w:proofErr w:type="spellEnd"/>
      <w:r w:rsidR="00F851D3">
        <w:t xml:space="preserve"> la denuncia de</w:t>
      </w:r>
      <w:r w:rsidR="00E45315">
        <w:t xml:space="preserve"> irregularidades cometidas en el marco de su actividad</w:t>
      </w:r>
      <w:r w:rsidR="00E45315" w:rsidRPr="00E45315">
        <w:t xml:space="preserve">. </w:t>
      </w:r>
    </w:p>
    <w:p w:rsidR="00FC1585" w:rsidRDefault="00FC1585" w:rsidP="00F93B3C">
      <w:pPr>
        <w:spacing w:after="0" w:line="276" w:lineRule="auto"/>
        <w:jc w:val="both"/>
      </w:pPr>
    </w:p>
    <w:p w:rsidR="00CF1038" w:rsidRPr="00F851D3" w:rsidRDefault="00945AB6" w:rsidP="00F93B3C">
      <w:pPr>
        <w:spacing w:after="0" w:line="276" w:lineRule="auto"/>
        <w:jc w:val="both"/>
      </w:pPr>
      <w:r w:rsidRPr="00F851D3">
        <w:t xml:space="preserve">La necesidad de su implementación se extrae de </w:t>
      </w:r>
      <w:r w:rsidR="00D1636D" w:rsidRPr="00F851D3">
        <w:t>varias normativas</w:t>
      </w:r>
      <w:r w:rsidR="00591E7B">
        <w:t xml:space="preserve"> nacionales</w:t>
      </w:r>
      <w:r w:rsidR="00FC1585" w:rsidRPr="00F851D3">
        <w:t>, en particular</w:t>
      </w:r>
      <w:r w:rsidR="00591E7B">
        <w:t xml:space="preserve"> en España</w:t>
      </w:r>
      <w:r w:rsidR="00FC1585" w:rsidRPr="00F851D3">
        <w:t>,</w:t>
      </w:r>
      <w:r w:rsidR="00591E7B">
        <w:t xml:space="preserve"> </w:t>
      </w:r>
      <w:r w:rsidR="00CF1038" w:rsidRPr="00F851D3">
        <w:t xml:space="preserve">la </w:t>
      </w:r>
      <w:r w:rsidR="00F851D3">
        <w:t>“</w:t>
      </w:r>
      <w:r w:rsidR="00FC1585" w:rsidRPr="00F851D3">
        <w:t>Ley Orgánica 10/1995, de 23 de noviembre, del Código Penal</w:t>
      </w:r>
      <w:r w:rsidR="00F851D3">
        <w:t>”</w:t>
      </w:r>
      <w:r w:rsidR="00CF1038" w:rsidRPr="00F851D3">
        <w:t xml:space="preserve"> y</w:t>
      </w:r>
      <w:r w:rsidR="00FC1585" w:rsidRPr="00F851D3">
        <w:t xml:space="preserve"> </w:t>
      </w:r>
      <w:r w:rsidR="005D3205" w:rsidRPr="00F851D3">
        <w:t xml:space="preserve">la </w:t>
      </w:r>
      <w:r w:rsidR="00F851D3">
        <w:t>“</w:t>
      </w:r>
      <w:r w:rsidR="005D3205" w:rsidRPr="00F851D3">
        <w:t xml:space="preserve">Circular 1/2016 de la </w:t>
      </w:r>
      <w:proofErr w:type="gramStart"/>
      <w:r w:rsidR="005D3205" w:rsidRPr="00F851D3">
        <w:t>Fiscalía General</w:t>
      </w:r>
      <w:proofErr w:type="gramEnd"/>
      <w:r w:rsidR="005D3205" w:rsidRPr="00F851D3">
        <w:t xml:space="preserve"> del Estado, de 22 de enero, sobre la responsabilidad penal de las personas jurídicas conforme a la reforma del Código Penal efectuada por Ley Orgánica 1/2015</w:t>
      </w:r>
      <w:r w:rsidR="00F851D3">
        <w:t>”</w:t>
      </w:r>
      <w:r w:rsidR="00CF1038" w:rsidRPr="00F851D3">
        <w:t xml:space="preserve">. </w:t>
      </w:r>
    </w:p>
    <w:p w:rsidR="00CF1038" w:rsidRDefault="00CF1038" w:rsidP="00F93B3C">
      <w:pPr>
        <w:spacing w:after="0" w:line="276" w:lineRule="auto"/>
        <w:jc w:val="both"/>
      </w:pPr>
    </w:p>
    <w:p w:rsidR="00E843D6" w:rsidRDefault="00CF1038" w:rsidP="00F93B3C">
      <w:pPr>
        <w:spacing w:after="0" w:line="276" w:lineRule="auto"/>
        <w:jc w:val="both"/>
      </w:pPr>
      <w:r>
        <w:lastRenderedPageBreak/>
        <w:t>Por otra parte,</w:t>
      </w:r>
      <w:r w:rsidR="00591E7B">
        <w:t xml:space="preserve"> </w:t>
      </w:r>
      <w:r w:rsidR="005D3205">
        <w:t xml:space="preserve">la </w:t>
      </w:r>
      <w:r w:rsidR="00F851D3">
        <w:t>“</w:t>
      </w:r>
      <w:r w:rsidR="00FC1585" w:rsidRPr="00F851D3">
        <w:t>Ley 2/2023, de 20 de febrero, reguladora de la protección de las personas que informen sobre infracciones normativas y de lucha contra la corrupción</w:t>
      </w:r>
      <w:r w:rsidRPr="00F851D3">
        <w:t xml:space="preserve"> por la que se transpone al derecho español la Directiva (UE) 1937/2019 de 23 de octubre de 2019</w:t>
      </w:r>
      <w:r w:rsidR="00F851D3">
        <w:t>”</w:t>
      </w:r>
      <w:r w:rsidRPr="00F851D3">
        <w:t>,</w:t>
      </w:r>
      <w:r>
        <w:t xml:space="preserve"> relativa a la protección de las personas que informen sobre infracciones del Derecho de la Unión (Directiva </w:t>
      </w:r>
      <w:proofErr w:type="spellStart"/>
      <w:r w:rsidRPr="00CF1038">
        <w:rPr>
          <w:i/>
          <w:iCs/>
        </w:rPr>
        <w:t>Whistleblower</w:t>
      </w:r>
      <w:proofErr w:type="spellEnd"/>
      <w:r>
        <w:t>).</w:t>
      </w:r>
    </w:p>
    <w:p w:rsidR="00CF1038" w:rsidRDefault="00CF1038" w:rsidP="00F93B3C">
      <w:pPr>
        <w:spacing w:after="0" w:line="276" w:lineRule="auto"/>
        <w:jc w:val="both"/>
      </w:pPr>
    </w:p>
    <w:p w:rsidR="00CF1038" w:rsidRPr="00F851D3" w:rsidRDefault="00295D7C" w:rsidP="00F93B3C">
      <w:pPr>
        <w:spacing w:after="0" w:line="276" w:lineRule="auto"/>
        <w:jc w:val="both"/>
      </w:pPr>
      <w:r w:rsidRPr="00F851D3">
        <w:t>Dentro del ámbito europeo, en</w:t>
      </w:r>
      <w:r w:rsidR="00CF1038" w:rsidRPr="00F851D3">
        <w:t xml:space="preserve"> materia de sostenibilidad y derechos humanos</w:t>
      </w:r>
      <w:r w:rsidRPr="00F851D3">
        <w:t xml:space="preserve"> y, en particular, en lo que a la </w:t>
      </w:r>
      <w:r w:rsidR="00F01599" w:rsidRPr="00F851D3">
        <w:t>diligencia debida en la cadena de suministro</w:t>
      </w:r>
      <w:r w:rsidRPr="00F851D3">
        <w:t xml:space="preserve"> se refiere</w:t>
      </w:r>
      <w:r w:rsidR="00CF1038" w:rsidRPr="00F851D3">
        <w:t xml:space="preserve">, </w:t>
      </w:r>
      <w:r w:rsidR="00D1636D" w:rsidRPr="00F851D3">
        <w:t>distintas normas nacionales evidencian su necesidad</w:t>
      </w:r>
      <w:r w:rsidR="00F01599" w:rsidRPr="00F851D3">
        <w:t xml:space="preserve">, entre otras, </w:t>
      </w:r>
      <w:r w:rsidR="00591E7B">
        <w:t>en Francia la</w:t>
      </w:r>
      <w:r w:rsidR="00F01599" w:rsidRPr="00F851D3">
        <w:t xml:space="preserve"> </w:t>
      </w:r>
      <w:r w:rsidR="00F851D3">
        <w:t>“</w:t>
      </w:r>
      <w:r w:rsidR="00F01599" w:rsidRPr="00F851D3">
        <w:t>Ley 2017-399 sobre el deber de vigilancia de las sociedades matrices y las empresas ordenantes</w:t>
      </w:r>
      <w:r w:rsidR="00F851D3">
        <w:t>”</w:t>
      </w:r>
      <w:r w:rsidR="00F01599" w:rsidRPr="00F851D3">
        <w:t xml:space="preserve">, </w:t>
      </w:r>
      <w:r w:rsidR="00591E7B">
        <w:t>en Alemania la</w:t>
      </w:r>
      <w:r w:rsidR="00F01599" w:rsidRPr="00F851D3">
        <w:t xml:space="preserve"> </w:t>
      </w:r>
      <w:r w:rsidR="00F851D3">
        <w:t>“</w:t>
      </w:r>
      <w:r w:rsidR="00F01599" w:rsidRPr="00F851D3">
        <w:t xml:space="preserve">Ley relativa a las obligaciones de diligencia debida corporativa en las cadenas de suministro </w:t>
      </w:r>
      <w:r w:rsidR="00055B30" w:rsidRPr="00F851D3">
        <w:t>“</w:t>
      </w:r>
      <w:proofErr w:type="spellStart"/>
      <w:r w:rsidR="00F01599" w:rsidRPr="00F851D3">
        <w:rPr>
          <w:i/>
          <w:iCs/>
        </w:rPr>
        <w:t>Lieferkettensorgfalts</w:t>
      </w:r>
      <w:r w:rsidR="00CC044E" w:rsidRPr="00F851D3">
        <w:rPr>
          <w:i/>
          <w:iCs/>
        </w:rPr>
        <w:t>pflichtengesetz-LkSG</w:t>
      </w:r>
      <w:proofErr w:type="spellEnd"/>
      <w:r w:rsidR="00055B30" w:rsidRPr="00F851D3">
        <w:t>”</w:t>
      </w:r>
      <w:r w:rsidR="00CC044E" w:rsidRPr="00F851D3">
        <w:t xml:space="preserve"> </w:t>
      </w:r>
      <w:r w:rsidRPr="00F851D3">
        <w:t>y</w:t>
      </w:r>
      <w:r w:rsidR="00055B30" w:rsidRPr="00F851D3">
        <w:t xml:space="preserve">, </w:t>
      </w:r>
      <w:r w:rsidRPr="00F851D3">
        <w:t>finalmente</w:t>
      </w:r>
      <w:r w:rsidR="00055B30" w:rsidRPr="00F851D3">
        <w:t>,</w:t>
      </w:r>
      <w:r w:rsidR="00F01599" w:rsidRPr="00F851D3">
        <w:t xml:space="preserve"> </w:t>
      </w:r>
      <w:r w:rsidR="00591E7B">
        <w:t>en el contexto comunitario la</w:t>
      </w:r>
      <w:r w:rsidR="00F01599" w:rsidRPr="00F851D3">
        <w:t xml:space="preserve"> </w:t>
      </w:r>
      <w:r w:rsidR="00CF1038" w:rsidRPr="00F851D3">
        <w:t xml:space="preserve"> Propuesta de </w:t>
      </w:r>
      <w:r w:rsidR="00F851D3">
        <w:t>“</w:t>
      </w:r>
      <w:r w:rsidR="00CF1038" w:rsidRPr="00F851D3">
        <w:t xml:space="preserve">Directiva </w:t>
      </w:r>
      <w:r w:rsidR="00F01599" w:rsidRPr="00F851D3">
        <w:t xml:space="preserve">Europea </w:t>
      </w:r>
      <w:r w:rsidR="00CF1038" w:rsidRPr="00F851D3">
        <w:t>de Diligencia Debida en Materia de Sostenibilidad</w:t>
      </w:r>
      <w:r w:rsidR="00F851D3">
        <w:t>”</w:t>
      </w:r>
      <w:r w:rsidR="00CC044E" w:rsidRPr="00F851D3">
        <w:t xml:space="preserve">. </w:t>
      </w:r>
    </w:p>
    <w:p w:rsidR="00FC1585" w:rsidRDefault="00FC1585" w:rsidP="00F93B3C">
      <w:pPr>
        <w:spacing w:after="0" w:line="276" w:lineRule="auto"/>
        <w:jc w:val="both"/>
      </w:pPr>
    </w:p>
    <w:p w:rsidR="006C5763" w:rsidRDefault="00295D7C" w:rsidP="00F93B3C">
      <w:pPr>
        <w:spacing w:after="0" w:line="276" w:lineRule="auto"/>
        <w:jc w:val="both"/>
      </w:pPr>
      <w:r>
        <w:t>Por último</w:t>
      </w:r>
      <w:r w:rsidR="008C6E78">
        <w:t xml:space="preserve">, </w:t>
      </w:r>
      <w:r>
        <w:t>la normativa interna de</w:t>
      </w:r>
      <w:r w:rsidR="00CD76C4">
        <w:t xml:space="preserve"> </w:t>
      </w:r>
      <w:r w:rsidR="00E62501">
        <w:t>Televés Corporación</w:t>
      </w:r>
      <w:r>
        <w:t xml:space="preserve"> contempla, dentro del Manual de Cumplimiento </w:t>
      </w:r>
      <w:r w:rsidR="00945AB6">
        <w:t>Normativo</w:t>
      </w:r>
      <w:r w:rsidR="00D1636D">
        <w:t xml:space="preserve"> y</w:t>
      </w:r>
      <w:r>
        <w:t xml:space="preserve"> del Código de Conducta y Proveedores, </w:t>
      </w:r>
      <w:r w:rsidR="008C6E78">
        <w:t xml:space="preserve">el Canal de Denuncias y Ético </w:t>
      </w:r>
      <w:r w:rsidR="00893326">
        <w:t xml:space="preserve">como </w:t>
      </w:r>
      <w:r w:rsidR="00945AB6">
        <w:t>el</w:t>
      </w:r>
      <w:r w:rsidR="00893326">
        <w:t xml:space="preserve"> sistema de gestión de </w:t>
      </w:r>
      <w:r>
        <w:t xml:space="preserve">las </w:t>
      </w:r>
      <w:r w:rsidR="00893326">
        <w:t xml:space="preserve">informaciones </w:t>
      </w:r>
      <w:r>
        <w:t>recibidas en este ámbito material</w:t>
      </w:r>
      <w:r w:rsidR="00893326">
        <w:t xml:space="preserve">. </w:t>
      </w:r>
    </w:p>
    <w:p w:rsidR="001E28D1" w:rsidRPr="001E28D1" w:rsidRDefault="001E28D1" w:rsidP="00F93B3C">
      <w:pPr>
        <w:spacing w:after="0" w:line="276" w:lineRule="auto"/>
        <w:jc w:val="both"/>
        <w:rPr>
          <w:rStyle w:val="markedcontent"/>
        </w:rPr>
      </w:pPr>
    </w:p>
    <w:p w:rsidR="00A37FB0" w:rsidRPr="001E28D1" w:rsidRDefault="00417C68" w:rsidP="00F93B3C">
      <w:pPr>
        <w:pStyle w:val="Prrafodelista"/>
        <w:numPr>
          <w:ilvl w:val="0"/>
          <w:numId w:val="9"/>
        </w:numPr>
        <w:spacing w:before="100" w:beforeAutospacing="1" w:after="100" w:afterAutospacing="1" w:line="276" w:lineRule="auto"/>
        <w:ind w:left="709"/>
        <w:rPr>
          <w:rFonts w:cstheme="minorHAnsi"/>
          <w:b/>
          <w:bCs/>
          <w:sz w:val="24"/>
          <w:szCs w:val="24"/>
        </w:rPr>
      </w:pPr>
      <w:r w:rsidRPr="001E28D1">
        <w:rPr>
          <w:rFonts w:cstheme="minorHAnsi"/>
          <w:b/>
          <w:bCs/>
          <w:sz w:val="24"/>
          <w:szCs w:val="24"/>
        </w:rPr>
        <w:t xml:space="preserve">FORMA DE COMUNICACIÓN </w:t>
      </w:r>
    </w:p>
    <w:p w:rsidR="00AB61DD" w:rsidRDefault="00E34E56" w:rsidP="00D1636D">
      <w:pPr>
        <w:spacing w:before="100" w:beforeAutospacing="1" w:after="100" w:afterAutospacing="1" w:line="276" w:lineRule="auto"/>
        <w:jc w:val="both"/>
      </w:pPr>
      <w:r w:rsidRPr="00E34E56">
        <w:t xml:space="preserve">La recepción y gestión de las </w:t>
      </w:r>
      <w:r w:rsidRPr="00466018">
        <w:t>comunicaciones recibidas a través de este canal será responsabilidad del Comité de Responsabilidad Social Corporativa o Cumplimiento Normativo de</w:t>
      </w:r>
      <w:r w:rsidR="00CD76C4" w:rsidRPr="00466018">
        <w:t xml:space="preserve"> </w:t>
      </w:r>
      <w:r w:rsidR="00E62501">
        <w:t>Televés Corporación</w:t>
      </w:r>
      <w:r w:rsidRPr="00466018">
        <w:t xml:space="preserve">, </w:t>
      </w:r>
      <w:r w:rsidR="00295D7C" w:rsidRPr="00466018">
        <w:t xml:space="preserve">respectivamente </w:t>
      </w:r>
      <w:r w:rsidRPr="00466018">
        <w:t>según el ámbito material</w:t>
      </w:r>
      <w:r w:rsidRPr="00E34E56">
        <w:t xml:space="preserve"> sobre el que verse dicha denuncia</w:t>
      </w:r>
      <w:r w:rsidR="00AB61DD">
        <w:t xml:space="preserve">. En todo caso, </w:t>
      </w:r>
      <w:r w:rsidR="00AB61DD" w:rsidRPr="00BF6A59">
        <w:t xml:space="preserve">las </w:t>
      </w:r>
      <w:r w:rsidR="00AB61DD">
        <w:t xml:space="preserve">denuncias </w:t>
      </w:r>
      <w:r w:rsidR="00AB61DD" w:rsidRPr="00BF6A59">
        <w:t xml:space="preserve">que </w:t>
      </w:r>
      <w:r w:rsidR="00F851D3">
        <w:t>tengan</w:t>
      </w:r>
      <w:r w:rsidR="00AB61DD" w:rsidRPr="00BF6A59">
        <w:t xml:space="preserve"> relevancia penal se derivarán </w:t>
      </w:r>
      <w:r w:rsidR="00AB61DD">
        <w:t>de forma inmediata al</w:t>
      </w:r>
      <w:r w:rsidR="00AB61DD" w:rsidRPr="00BF6A59">
        <w:t xml:space="preserve"> </w:t>
      </w:r>
      <w:r w:rsidR="00AB61DD">
        <w:t>C</w:t>
      </w:r>
      <w:r w:rsidR="00AB61DD" w:rsidRPr="00BF6A59">
        <w:t xml:space="preserve">omité de </w:t>
      </w:r>
      <w:r w:rsidR="00AB61DD">
        <w:t>C</w:t>
      </w:r>
      <w:r w:rsidR="00AB61DD" w:rsidRPr="00BF6A59">
        <w:t>umplimiento</w:t>
      </w:r>
      <w:r w:rsidR="00AB61DD">
        <w:t xml:space="preserve"> Normativo</w:t>
      </w:r>
      <w:r w:rsidR="00AB61DD" w:rsidRPr="00BF6A59">
        <w:t>.</w:t>
      </w:r>
      <w:r w:rsidR="00AB61DD">
        <w:t xml:space="preserve"> </w:t>
      </w:r>
    </w:p>
    <w:p w:rsidR="00E34E56" w:rsidRDefault="00AB61DD" w:rsidP="00F93B3C">
      <w:pPr>
        <w:spacing w:before="100" w:beforeAutospacing="1" w:after="100" w:afterAutospacing="1" w:line="276" w:lineRule="auto"/>
        <w:jc w:val="both"/>
      </w:pPr>
      <w:r>
        <w:t xml:space="preserve">El Comité delegará tanto la gestión del sistema como la tramitación de los expedientes de investigación en uno de sus miembros.  </w:t>
      </w:r>
    </w:p>
    <w:p w:rsidR="00E34E56" w:rsidRDefault="00E34E56" w:rsidP="00F93B3C">
      <w:pPr>
        <w:spacing w:before="100" w:beforeAutospacing="1" w:after="100" w:afterAutospacing="1" w:line="276" w:lineRule="auto"/>
        <w:jc w:val="both"/>
      </w:pPr>
      <w:r w:rsidRPr="00E34E56">
        <w:t>Se aceptarán tanto comunicaciones en las que se identifique el emisor como aquellas anónimas, preservándose en todo momento el tratamiento confidencial de las mismas.</w:t>
      </w:r>
      <w:r>
        <w:t xml:space="preserve">  </w:t>
      </w:r>
    </w:p>
    <w:p w:rsidR="00BF6A59" w:rsidRDefault="00BF6A59" w:rsidP="00F93B3C">
      <w:pPr>
        <w:pStyle w:val="Default"/>
        <w:spacing w:line="276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F6A59">
        <w:rPr>
          <w:rFonts w:asciiTheme="minorHAnsi" w:hAnsiTheme="minorHAnsi" w:cstheme="minorBidi"/>
          <w:color w:val="auto"/>
          <w:sz w:val="22"/>
          <w:szCs w:val="22"/>
        </w:rPr>
        <w:t xml:space="preserve">El Denunciante, así como aquellas personas </w:t>
      </w:r>
      <w:r w:rsidR="006A0E27">
        <w:rPr>
          <w:rFonts w:asciiTheme="minorHAnsi" w:hAnsiTheme="minorHAnsi" w:cstheme="minorBidi"/>
          <w:color w:val="auto"/>
          <w:sz w:val="22"/>
          <w:szCs w:val="22"/>
        </w:rPr>
        <w:t>involucradas</w:t>
      </w:r>
      <w:r w:rsidRPr="00BF6A59">
        <w:rPr>
          <w:rFonts w:asciiTheme="minorHAnsi" w:hAnsiTheme="minorHAnsi" w:cstheme="minorBidi"/>
          <w:color w:val="auto"/>
          <w:sz w:val="22"/>
          <w:szCs w:val="22"/>
        </w:rPr>
        <w:t xml:space="preserve"> en la investigación de los hechos </w:t>
      </w:r>
      <w:r w:rsidR="005571E6">
        <w:rPr>
          <w:rFonts w:asciiTheme="minorHAnsi" w:hAnsiTheme="minorHAnsi" w:cstheme="minorBidi"/>
          <w:color w:val="auto"/>
          <w:sz w:val="22"/>
          <w:szCs w:val="22"/>
        </w:rPr>
        <w:t>denunciados</w:t>
      </w:r>
      <w:r w:rsidRPr="00BF6A59">
        <w:rPr>
          <w:rFonts w:asciiTheme="minorHAnsi" w:hAnsiTheme="minorHAnsi" w:cstheme="minorBidi"/>
          <w:color w:val="auto"/>
          <w:sz w:val="22"/>
          <w:szCs w:val="22"/>
        </w:rPr>
        <w:t xml:space="preserve">, tienen la obligación de colaborar </w:t>
      </w:r>
      <w:r w:rsidR="00551016">
        <w:rPr>
          <w:rFonts w:asciiTheme="minorHAnsi" w:hAnsiTheme="minorHAnsi" w:cstheme="minorBidi"/>
          <w:color w:val="auto"/>
          <w:sz w:val="22"/>
          <w:szCs w:val="22"/>
        </w:rPr>
        <w:t>con la investigación</w:t>
      </w:r>
      <w:r w:rsidRPr="00BF6A59">
        <w:rPr>
          <w:rFonts w:asciiTheme="minorHAnsi" w:hAnsiTheme="minorHAnsi" w:cstheme="minorBidi"/>
          <w:color w:val="auto"/>
          <w:sz w:val="22"/>
          <w:szCs w:val="22"/>
        </w:rPr>
        <w:t xml:space="preserve"> y se comprometen a guardar secreto sobre la comunicación formulada, así como sobre la identidad de la persona o personas a las que se refiere en la comunicación y de los hechos y documentación objeto de la misma. </w:t>
      </w:r>
    </w:p>
    <w:p w:rsidR="00BF6A59" w:rsidRPr="00BF6A59" w:rsidRDefault="00BF6A59" w:rsidP="00F93B3C">
      <w:pPr>
        <w:pStyle w:val="Default"/>
        <w:spacing w:line="276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BF6A59" w:rsidRPr="00BF6A59" w:rsidRDefault="00BF6A59" w:rsidP="00F93B3C">
      <w:pPr>
        <w:autoSpaceDE w:val="0"/>
        <w:autoSpaceDN w:val="0"/>
        <w:adjustRightInd w:val="0"/>
        <w:spacing w:after="0" w:line="276" w:lineRule="auto"/>
        <w:jc w:val="both"/>
      </w:pPr>
      <w:r w:rsidRPr="00BF6A59">
        <w:t xml:space="preserve">Las comunicaciones deberán realizarse bajo el principio de la buena fe. No se podrá emplear este Canal bajo motivos ilegítimos, personales o contrarios a la buena fe. </w:t>
      </w:r>
    </w:p>
    <w:p w:rsidR="00BF6A59" w:rsidRDefault="00BF6A59" w:rsidP="00F93B3C">
      <w:pPr>
        <w:spacing w:before="100" w:beforeAutospacing="1" w:after="100" w:afterAutospacing="1" w:line="276" w:lineRule="auto"/>
        <w:jc w:val="both"/>
      </w:pPr>
      <w:r w:rsidRPr="00BF6A59">
        <w:t xml:space="preserve">En caso de confirmarse que el Denunciante hubiera formulado una comunicación de mala fe, </w:t>
      </w:r>
      <w:r w:rsidR="00E62501">
        <w:t>Televés Corporación</w:t>
      </w:r>
      <w:r w:rsidR="00A37FB0">
        <w:t xml:space="preserve"> </w:t>
      </w:r>
      <w:r w:rsidRPr="00BF6A59">
        <w:t>se reserva el derecho de emprender cuantas acciones internas y/o legales considere oportunas.</w:t>
      </w:r>
    </w:p>
    <w:p w:rsidR="00603FDB" w:rsidRPr="00603FDB" w:rsidRDefault="006C5763" w:rsidP="00F93B3C">
      <w:pPr>
        <w:spacing w:before="100" w:beforeAutospacing="1" w:after="100" w:afterAutospacing="1" w:line="276" w:lineRule="auto"/>
        <w:jc w:val="both"/>
      </w:pPr>
      <w:r>
        <w:lastRenderedPageBreak/>
        <w:t xml:space="preserve">Cualquier comunicación deberá contener, al menos la siguiente información: </w:t>
      </w:r>
    </w:p>
    <w:p w:rsidR="00603FDB" w:rsidRPr="00603FDB" w:rsidRDefault="00603FDB" w:rsidP="00F93B3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</w:pPr>
      <w:r w:rsidRPr="00603FDB">
        <w:t xml:space="preserve">Descripción detallada de los hechos denunciados, </w:t>
      </w:r>
    </w:p>
    <w:p w:rsidR="00603FDB" w:rsidRPr="00603FDB" w:rsidRDefault="00603FDB" w:rsidP="00F93B3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</w:pPr>
      <w:r w:rsidRPr="00603FDB">
        <w:t>Fecha y lugar en el que se han producido los hechos</w:t>
      </w:r>
    </w:p>
    <w:p w:rsidR="00603FDB" w:rsidRPr="00603FDB" w:rsidRDefault="00603FDB" w:rsidP="00F93B3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</w:pPr>
      <w:r w:rsidRPr="00603FDB">
        <w:t>Personas involucradas en los hechos</w:t>
      </w:r>
    </w:p>
    <w:p w:rsidR="00603FDB" w:rsidRPr="00603FDB" w:rsidRDefault="00603FDB" w:rsidP="00F93B3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</w:pPr>
      <w:r w:rsidRPr="00603FDB">
        <w:t>Tipo de infracción</w:t>
      </w:r>
      <w:r w:rsidR="002B5010">
        <w:t xml:space="preserve"> denunciada</w:t>
      </w:r>
    </w:p>
    <w:p w:rsidR="00603FDB" w:rsidRDefault="00603FDB" w:rsidP="00F93B3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</w:pPr>
      <w:r w:rsidRPr="00603FDB">
        <w:t>Documentación justificativa de la denuncia</w:t>
      </w:r>
    </w:p>
    <w:p w:rsidR="00603FDB" w:rsidRDefault="00603FDB" w:rsidP="00F93B3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</w:pPr>
      <w:r>
        <w:t xml:space="preserve">En el caso datos que se identifique el denunciante, datos del contacto </w:t>
      </w:r>
      <w:r w:rsidR="00551016">
        <w:t>a efecto de notificaciones</w:t>
      </w:r>
    </w:p>
    <w:p w:rsidR="00814B67" w:rsidRDefault="006C5763" w:rsidP="00F93B3C">
      <w:pPr>
        <w:spacing w:before="100" w:beforeAutospacing="1" w:after="100" w:afterAutospacing="1" w:line="276" w:lineRule="auto"/>
        <w:jc w:val="both"/>
      </w:pPr>
      <w:r>
        <w:t>Adicionalmente</w:t>
      </w:r>
      <w:r w:rsidR="00814B67">
        <w:t xml:space="preserve">, se admitirán </w:t>
      </w:r>
      <w:r>
        <w:t xml:space="preserve">la presentación de </w:t>
      </w:r>
      <w:r w:rsidR="002B5010">
        <w:t xml:space="preserve">una </w:t>
      </w:r>
      <w:r>
        <w:t>denuncia</w:t>
      </w:r>
      <w:r w:rsidR="00814B67">
        <w:t xml:space="preserve"> a través de los siguientes canales alternativos:</w:t>
      </w:r>
    </w:p>
    <w:p w:rsidR="00814B67" w:rsidRDefault="00814B67" w:rsidP="00F93B3C">
      <w:pPr>
        <w:pStyle w:val="Prrafodelista"/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>
        <w:t xml:space="preserve">Por correo postal dirigido a: </w:t>
      </w:r>
    </w:p>
    <w:p w:rsidR="00814B67" w:rsidRDefault="00814B67" w:rsidP="00F93B3C">
      <w:pPr>
        <w:pStyle w:val="Prrafodelista"/>
        <w:spacing w:before="100" w:beforeAutospacing="1" w:after="100" w:afterAutospacing="1" w:line="276" w:lineRule="auto"/>
        <w:ind w:left="765"/>
        <w:jc w:val="both"/>
      </w:pPr>
    </w:p>
    <w:p w:rsidR="00814B67" w:rsidRPr="00F93B3C" w:rsidRDefault="00814B67" w:rsidP="00F93B3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ind w:left="1560" w:right="991"/>
        <w:jc w:val="both"/>
        <w:rPr>
          <w:b/>
          <w:bCs/>
          <w:sz w:val="20"/>
          <w:szCs w:val="20"/>
        </w:rPr>
      </w:pPr>
      <w:r w:rsidRPr="00F93B3C">
        <w:rPr>
          <w:b/>
          <w:bCs/>
          <w:sz w:val="20"/>
          <w:szCs w:val="20"/>
        </w:rPr>
        <w:t>A LA ATENCIÓN DEL COMITÉ DE CUMPLIMIENTO NORMATIVO/RESPONSABILIDAD SOCIAL CORPORATIVA DE</w:t>
      </w:r>
      <w:r w:rsidR="00CD76C4">
        <w:rPr>
          <w:b/>
          <w:bCs/>
          <w:sz w:val="20"/>
          <w:szCs w:val="20"/>
        </w:rPr>
        <w:t xml:space="preserve"> </w:t>
      </w:r>
      <w:r w:rsidR="00E62501">
        <w:rPr>
          <w:b/>
          <w:bCs/>
          <w:sz w:val="20"/>
          <w:szCs w:val="20"/>
        </w:rPr>
        <w:t>TELEVÉS CORPORACIÓN</w:t>
      </w:r>
    </w:p>
    <w:p w:rsidR="00814B67" w:rsidRPr="00F93B3C" w:rsidRDefault="00814B67" w:rsidP="00F93B3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ind w:left="1560" w:right="991"/>
        <w:jc w:val="both"/>
        <w:rPr>
          <w:b/>
          <w:bCs/>
          <w:sz w:val="20"/>
          <w:szCs w:val="20"/>
        </w:rPr>
      </w:pPr>
    </w:p>
    <w:p w:rsidR="00814B67" w:rsidRPr="00F93B3C" w:rsidRDefault="00F25FA9" w:rsidP="00F93B3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ind w:left="1560" w:right="99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TELCOR, S.A.</w:t>
      </w:r>
      <w:r w:rsidR="00814B67" w:rsidRPr="00F93B3C">
        <w:rPr>
          <w:b/>
          <w:bCs/>
          <w:sz w:val="20"/>
          <w:szCs w:val="20"/>
        </w:rPr>
        <w:t xml:space="preserve"> </w:t>
      </w:r>
    </w:p>
    <w:p w:rsidR="006C5763" w:rsidRPr="00F93B3C" w:rsidRDefault="006C5763" w:rsidP="00F93B3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ind w:left="1560" w:right="991"/>
        <w:jc w:val="center"/>
        <w:rPr>
          <w:b/>
          <w:bCs/>
          <w:sz w:val="20"/>
          <w:szCs w:val="20"/>
        </w:rPr>
      </w:pPr>
    </w:p>
    <w:p w:rsidR="00814B67" w:rsidRPr="00F93B3C" w:rsidRDefault="00814B67" w:rsidP="00F93B3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ind w:left="1560" w:right="991"/>
        <w:jc w:val="both"/>
        <w:rPr>
          <w:b/>
          <w:bCs/>
          <w:sz w:val="20"/>
          <w:szCs w:val="20"/>
        </w:rPr>
      </w:pPr>
      <w:r w:rsidRPr="00F93B3C">
        <w:rPr>
          <w:b/>
          <w:bCs/>
          <w:sz w:val="20"/>
          <w:szCs w:val="20"/>
        </w:rPr>
        <w:t xml:space="preserve">C/ Benéfica de </w:t>
      </w:r>
      <w:proofErr w:type="spellStart"/>
      <w:r w:rsidRPr="00F93B3C">
        <w:rPr>
          <w:b/>
          <w:bCs/>
          <w:sz w:val="20"/>
          <w:szCs w:val="20"/>
        </w:rPr>
        <w:t>Conxo</w:t>
      </w:r>
      <w:proofErr w:type="spellEnd"/>
      <w:r w:rsidRPr="00F93B3C">
        <w:rPr>
          <w:b/>
          <w:bCs/>
          <w:sz w:val="20"/>
          <w:szCs w:val="20"/>
        </w:rPr>
        <w:t xml:space="preserve"> 17-15.706- Santiago de Compostela, A Coruña (España) </w:t>
      </w:r>
    </w:p>
    <w:p w:rsidR="00814B67" w:rsidRDefault="00814B67" w:rsidP="00F93B3C">
      <w:pPr>
        <w:pStyle w:val="Prrafodelista"/>
        <w:spacing w:before="100" w:beforeAutospacing="1" w:after="100" w:afterAutospacing="1" w:line="276" w:lineRule="auto"/>
        <w:ind w:left="765"/>
        <w:jc w:val="both"/>
      </w:pPr>
    </w:p>
    <w:p w:rsidR="006C5763" w:rsidRDefault="006C5763" w:rsidP="00F93B3C">
      <w:pPr>
        <w:pStyle w:val="Prrafodelista"/>
        <w:spacing w:before="100" w:beforeAutospacing="1" w:after="100" w:afterAutospacing="1" w:line="276" w:lineRule="auto"/>
        <w:ind w:left="765"/>
        <w:jc w:val="both"/>
      </w:pPr>
    </w:p>
    <w:p w:rsidR="00814B67" w:rsidRPr="00573340" w:rsidRDefault="00814B67" w:rsidP="00573340">
      <w:pPr>
        <w:pStyle w:val="Prrafodelista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Style w:val="Hipervnculo"/>
          <w:color w:val="auto"/>
          <w:u w:val="none"/>
        </w:rPr>
      </w:pPr>
      <w:r>
        <w:t xml:space="preserve">Por correo electrónico al buzón: </w:t>
      </w:r>
      <w:hyperlink r:id="rId10" w:history="1">
        <w:r w:rsidR="006C5763" w:rsidRPr="006C5763">
          <w:rPr>
            <w:rStyle w:val="Hipervnculo"/>
          </w:rPr>
          <w:t>canaldenuncias@televescorporation.com</w:t>
        </w:r>
      </w:hyperlink>
    </w:p>
    <w:p w:rsidR="00573340" w:rsidRDefault="00573340" w:rsidP="00573340">
      <w:pPr>
        <w:spacing w:before="100" w:beforeAutospacing="1" w:after="100" w:afterAutospacing="1" w:line="276" w:lineRule="auto"/>
        <w:jc w:val="both"/>
      </w:pPr>
      <w:r>
        <w:t xml:space="preserve">El Denunciante podrá formular comunicaciones </w:t>
      </w:r>
      <w:r w:rsidR="00FB37C0">
        <w:t xml:space="preserve">también </w:t>
      </w:r>
      <w:r>
        <w:t xml:space="preserve">a través del canal externo de </w:t>
      </w:r>
      <w:r w:rsidR="00FB37C0">
        <w:t xml:space="preserve">información de la Autoridad Independiente de Protección del Informante (A.A.I.) o a través de las autoridades </w:t>
      </w:r>
      <w:r w:rsidR="00965B2C">
        <w:t xml:space="preserve">nacionales </w:t>
      </w:r>
      <w:r w:rsidR="00FB37C0">
        <w:t xml:space="preserve">u órganos autonómicos </w:t>
      </w:r>
      <w:r w:rsidR="007E6B60">
        <w:t xml:space="preserve">o de la Unión Europea </w:t>
      </w:r>
      <w:r w:rsidR="00FB37C0">
        <w:t xml:space="preserve">correspondientes, ya sea directamente o previa comunicación a través del correspondiente canal interno. </w:t>
      </w:r>
    </w:p>
    <w:p w:rsidR="000A351C" w:rsidRPr="00A37FB0" w:rsidRDefault="000A351C" w:rsidP="00F93B3C">
      <w:pPr>
        <w:spacing w:after="0" w:line="276" w:lineRule="auto"/>
        <w:rPr>
          <w:rStyle w:val="markedcontent"/>
          <w:b/>
          <w:bCs/>
        </w:rPr>
      </w:pPr>
    </w:p>
    <w:p w:rsidR="000A351C" w:rsidRPr="00417C68" w:rsidRDefault="000A351C" w:rsidP="00F93B3C">
      <w:pPr>
        <w:pStyle w:val="Prrafodelista"/>
        <w:numPr>
          <w:ilvl w:val="0"/>
          <w:numId w:val="9"/>
        </w:numPr>
        <w:spacing w:after="0" w:line="276" w:lineRule="auto"/>
        <w:ind w:left="426" w:hanging="426"/>
        <w:rPr>
          <w:rStyle w:val="markedcontent"/>
          <w:b/>
          <w:bCs/>
          <w:sz w:val="24"/>
          <w:szCs w:val="24"/>
        </w:rPr>
      </w:pPr>
      <w:r w:rsidRPr="00417C68">
        <w:rPr>
          <w:rStyle w:val="markedcontent"/>
          <w:b/>
          <w:bCs/>
          <w:sz w:val="24"/>
          <w:szCs w:val="24"/>
        </w:rPr>
        <w:t xml:space="preserve">PRINCIPIOS Y GARANTÍAS DEL </w:t>
      </w:r>
      <w:r w:rsidR="00A37FB0" w:rsidRPr="00417C68">
        <w:rPr>
          <w:rStyle w:val="markedcontent"/>
          <w:b/>
          <w:bCs/>
          <w:sz w:val="24"/>
          <w:szCs w:val="24"/>
        </w:rPr>
        <w:t xml:space="preserve">CANAL DE DENUNCIAS </w:t>
      </w:r>
      <w:r w:rsidRPr="00417C68">
        <w:rPr>
          <w:rStyle w:val="markedcontent"/>
          <w:b/>
          <w:bCs/>
          <w:sz w:val="24"/>
          <w:szCs w:val="24"/>
        </w:rPr>
        <w:t xml:space="preserve"> </w:t>
      </w:r>
    </w:p>
    <w:p w:rsidR="000A351C" w:rsidRDefault="000A351C" w:rsidP="00F93B3C">
      <w:pPr>
        <w:pStyle w:val="Default"/>
        <w:spacing w:line="276" w:lineRule="auto"/>
      </w:pPr>
    </w:p>
    <w:p w:rsidR="000A351C" w:rsidRDefault="000A351C" w:rsidP="00F93B3C">
      <w:pPr>
        <w:pStyle w:val="Default"/>
        <w:spacing w:line="276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0D4A2F">
        <w:rPr>
          <w:rFonts w:asciiTheme="minorHAnsi" w:hAnsiTheme="minorHAnsi" w:cstheme="minorBidi"/>
          <w:color w:val="auto"/>
          <w:sz w:val="22"/>
          <w:szCs w:val="22"/>
        </w:rPr>
        <w:t>La</w:t>
      </w:r>
      <w:r w:rsidR="00A37FB0">
        <w:rPr>
          <w:rFonts w:asciiTheme="minorHAnsi" w:hAnsiTheme="minorHAnsi" w:cstheme="minorBidi"/>
          <w:color w:val="auto"/>
          <w:sz w:val="22"/>
          <w:szCs w:val="22"/>
        </w:rPr>
        <w:t xml:space="preserve"> recepción, </w:t>
      </w:r>
      <w:r w:rsidRPr="000D4A2F">
        <w:rPr>
          <w:rFonts w:asciiTheme="minorHAnsi" w:hAnsiTheme="minorHAnsi" w:cstheme="minorBidi"/>
          <w:color w:val="auto"/>
          <w:sz w:val="22"/>
          <w:szCs w:val="22"/>
        </w:rPr>
        <w:t xml:space="preserve">tramitación y resolución de las denuncias formalizadas </w:t>
      </w:r>
      <w:r w:rsidR="00FE2988" w:rsidRPr="000D4A2F">
        <w:rPr>
          <w:rFonts w:asciiTheme="minorHAnsi" w:hAnsiTheme="minorHAnsi" w:cstheme="minorBidi"/>
          <w:color w:val="auto"/>
          <w:sz w:val="22"/>
          <w:szCs w:val="22"/>
        </w:rPr>
        <w:t>conllevarán la aplicación de los principios</w:t>
      </w:r>
      <w:r w:rsidR="00C30B05">
        <w:rPr>
          <w:rFonts w:asciiTheme="minorHAnsi" w:hAnsiTheme="minorHAnsi" w:cstheme="minorBidi"/>
          <w:color w:val="auto"/>
          <w:sz w:val="22"/>
          <w:szCs w:val="22"/>
        </w:rPr>
        <w:t xml:space="preserve"> y garantías siguientes</w:t>
      </w:r>
      <w:r w:rsidR="00FE2988" w:rsidRPr="000D4A2F">
        <w:rPr>
          <w:rFonts w:asciiTheme="minorHAnsi" w:hAnsiTheme="minorHAnsi" w:cstheme="minorBidi"/>
          <w:color w:val="auto"/>
          <w:sz w:val="22"/>
          <w:szCs w:val="22"/>
        </w:rPr>
        <w:t>:</w:t>
      </w:r>
      <w:r w:rsidRPr="000D4A2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:rsidR="00B559EB" w:rsidRPr="000D4A2F" w:rsidRDefault="00B559EB" w:rsidP="00F93B3C">
      <w:pPr>
        <w:pStyle w:val="Default"/>
        <w:spacing w:line="276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0A351C" w:rsidRDefault="000A351C" w:rsidP="00F93B3C">
      <w:pPr>
        <w:pStyle w:val="Default"/>
        <w:spacing w:line="276" w:lineRule="auto"/>
        <w:ind w:left="142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0D4A2F">
        <w:rPr>
          <w:rFonts w:asciiTheme="minorHAnsi" w:hAnsiTheme="minorHAnsi" w:cstheme="minorBidi"/>
          <w:color w:val="auto"/>
          <w:sz w:val="22"/>
          <w:szCs w:val="22"/>
        </w:rPr>
        <w:t xml:space="preserve">• Garantizar la confidencialidad, anonimato e indemnidad del denunciante que actúa de buena fe a través del </w:t>
      </w:r>
      <w:r w:rsidR="00551016">
        <w:rPr>
          <w:rFonts w:asciiTheme="minorHAnsi" w:hAnsiTheme="minorHAnsi" w:cstheme="minorBidi"/>
          <w:color w:val="auto"/>
          <w:sz w:val="22"/>
          <w:szCs w:val="22"/>
        </w:rPr>
        <w:t>canal de denuncias</w:t>
      </w:r>
      <w:r w:rsidRPr="000D4A2F"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</w:p>
    <w:p w:rsidR="00B559EB" w:rsidRPr="000D4A2F" w:rsidRDefault="00B559EB" w:rsidP="00F93B3C">
      <w:pPr>
        <w:pStyle w:val="Default"/>
        <w:spacing w:line="276" w:lineRule="auto"/>
        <w:ind w:left="142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0A351C" w:rsidRDefault="000A351C" w:rsidP="00F93B3C">
      <w:pPr>
        <w:pStyle w:val="Default"/>
        <w:spacing w:line="276" w:lineRule="auto"/>
        <w:ind w:left="142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0D4A2F">
        <w:rPr>
          <w:rFonts w:asciiTheme="minorHAnsi" w:hAnsiTheme="minorHAnsi" w:cstheme="minorBidi"/>
          <w:color w:val="auto"/>
          <w:sz w:val="22"/>
          <w:szCs w:val="22"/>
        </w:rPr>
        <w:t>• Garantizar la confidencialidad, anonimato e indemnidad de las personas que hayan prestado su colaboración para la resolución de una denuncia y hayan actuado de buena fe.</w:t>
      </w:r>
    </w:p>
    <w:p w:rsidR="00B559EB" w:rsidRPr="000D4A2F" w:rsidRDefault="00B559EB" w:rsidP="00F93B3C">
      <w:pPr>
        <w:pStyle w:val="Default"/>
        <w:spacing w:line="276" w:lineRule="auto"/>
        <w:ind w:left="142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0A351C" w:rsidRDefault="000A351C" w:rsidP="00F93B3C">
      <w:pPr>
        <w:pStyle w:val="Default"/>
        <w:spacing w:line="276" w:lineRule="auto"/>
        <w:ind w:left="142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C30B05">
        <w:rPr>
          <w:rFonts w:asciiTheme="minorHAnsi" w:hAnsiTheme="minorHAnsi" w:cstheme="minorBidi"/>
          <w:color w:val="auto"/>
          <w:sz w:val="22"/>
          <w:szCs w:val="22"/>
        </w:rPr>
        <w:lastRenderedPageBreak/>
        <w:t xml:space="preserve">• Garantizar que no se adopta ninguna represalia, directa o indirecta, contra aquellas personas que, de buena fe, hubieran formulado una denuncia </w:t>
      </w:r>
      <w:r w:rsidR="002B5010" w:rsidRPr="00C30B05">
        <w:rPr>
          <w:rFonts w:asciiTheme="minorHAnsi" w:hAnsiTheme="minorHAnsi" w:cstheme="minorBidi"/>
          <w:color w:val="auto"/>
          <w:sz w:val="22"/>
          <w:szCs w:val="22"/>
        </w:rPr>
        <w:t>relativa a una infracción</w:t>
      </w:r>
      <w:r w:rsidRPr="00C30B05">
        <w:rPr>
          <w:rFonts w:asciiTheme="minorHAnsi" w:hAnsiTheme="minorHAnsi" w:cstheme="minorBidi"/>
          <w:color w:val="auto"/>
          <w:sz w:val="22"/>
          <w:szCs w:val="22"/>
        </w:rPr>
        <w:t>, o colaborado para su resolución.</w:t>
      </w:r>
      <w:r w:rsidRPr="000D4A2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:rsidR="00B559EB" w:rsidRPr="000D4A2F" w:rsidRDefault="00B559EB" w:rsidP="00F93B3C">
      <w:pPr>
        <w:pStyle w:val="Default"/>
        <w:spacing w:line="276" w:lineRule="auto"/>
        <w:ind w:left="142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0A351C" w:rsidRDefault="000A351C" w:rsidP="00F93B3C">
      <w:pPr>
        <w:pStyle w:val="Default"/>
        <w:spacing w:line="276" w:lineRule="auto"/>
        <w:ind w:left="142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0D4A2F">
        <w:rPr>
          <w:rFonts w:asciiTheme="minorHAnsi" w:hAnsiTheme="minorHAnsi" w:cstheme="minorBidi"/>
          <w:color w:val="auto"/>
          <w:sz w:val="22"/>
          <w:szCs w:val="22"/>
        </w:rPr>
        <w:t xml:space="preserve">• Mantener la confidencialidad de las actuaciones llevadas a cabo, salvo que le sea exigida dicha información por una autoridad administrativa o judicial. </w:t>
      </w:r>
    </w:p>
    <w:p w:rsidR="00B559EB" w:rsidRPr="000D4A2F" w:rsidRDefault="00B559EB" w:rsidP="00F93B3C">
      <w:pPr>
        <w:pStyle w:val="Default"/>
        <w:spacing w:line="276" w:lineRule="auto"/>
        <w:ind w:left="142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0A351C" w:rsidRDefault="000A351C" w:rsidP="00F93B3C">
      <w:pPr>
        <w:pStyle w:val="Default"/>
        <w:spacing w:line="276" w:lineRule="auto"/>
        <w:ind w:left="142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0D4A2F">
        <w:rPr>
          <w:rFonts w:asciiTheme="minorHAnsi" w:hAnsiTheme="minorHAnsi" w:cstheme="minorBidi"/>
          <w:color w:val="auto"/>
          <w:sz w:val="22"/>
          <w:szCs w:val="22"/>
        </w:rPr>
        <w:t xml:space="preserve">• Proporcionar una respuesta de forma temprana y eficaz con el objeto de poner fin a las irregularidades o prevenir que se lleven a cabo. </w:t>
      </w:r>
    </w:p>
    <w:p w:rsidR="00B559EB" w:rsidRPr="000D4A2F" w:rsidRDefault="00B559EB" w:rsidP="00F93B3C">
      <w:pPr>
        <w:pStyle w:val="Default"/>
        <w:spacing w:line="276" w:lineRule="auto"/>
        <w:ind w:left="142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0A351C" w:rsidRDefault="000A351C" w:rsidP="00F93B3C">
      <w:pPr>
        <w:pStyle w:val="Default"/>
        <w:spacing w:line="276" w:lineRule="auto"/>
        <w:ind w:left="142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0D4A2F">
        <w:rPr>
          <w:rFonts w:asciiTheme="minorHAnsi" w:hAnsiTheme="minorHAnsi" w:cstheme="minorBidi"/>
          <w:color w:val="auto"/>
          <w:sz w:val="22"/>
          <w:szCs w:val="22"/>
        </w:rPr>
        <w:t xml:space="preserve">• Adoptar las precauciones necesarias para evitar la vulneración de derechos fundamentales, así como procurar una correcta custodia de la información obtenida. </w:t>
      </w:r>
    </w:p>
    <w:p w:rsidR="00B559EB" w:rsidRPr="000D4A2F" w:rsidRDefault="00B559EB" w:rsidP="00F93B3C">
      <w:pPr>
        <w:pStyle w:val="Default"/>
        <w:spacing w:line="276" w:lineRule="auto"/>
        <w:ind w:left="142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0A351C" w:rsidRDefault="000A351C" w:rsidP="00F93B3C">
      <w:pPr>
        <w:spacing w:after="0" w:line="276" w:lineRule="auto"/>
        <w:ind w:left="142"/>
        <w:jc w:val="both"/>
      </w:pPr>
      <w:r w:rsidRPr="000D4A2F">
        <w:t>• Garantizar la protección de los datos de carácter personal, conforme a lo previsto en la legislación aplicable.</w:t>
      </w:r>
    </w:p>
    <w:p w:rsidR="00417C68" w:rsidRDefault="00417C68" w:rsidP="00F93B3C">
      <w:pPr>
        <w:spacing w:after="0" w:line="276" w:lineRule="auto"/>
        <w:ind w:left="142"/>
        <w:jc w:val="both"/>
      </w:pPr>
    </w:p>
    <w:p w:rsidR="00417C68" w:rsidRDefault="00417C68" w:rsidP="00F93B3C">
      <w:pPr>
        <w:spacing w:after="0" w:line="276" w:lineRule="auto"/>
        <w:jc w:val="both"/>
      </w:pPr>
    </w:p>
    <w:p w:rsidR="00FE0AE9" w:rsidRDefault="00FE0AE9" w:rsidP="00F93B3C">
      <w:pPr>
        <w:spacing w:after="0" w:line="276" w:lineRule="auto"/>
        <w:ind w:left="142"/>
        <w:jc w:val="both"/>
      </w:pPr>
    </w:p>
    <w:p w:rsidR="00FE0AE9" w:rsidRPr="00945C0F" w:rsidRDefault="00FE0AE9" w:rsidP="00F93B3C">
      <w:pPr>
        <w:pStyle w:val="Prrafodelista"/>
        <w:numPr>
          <w:ilvl w:val="0"/>
          <w:numId w:val="9"/>
        </w:numPr>
        <w:spacing w:after="0" w:line="276" w:lineRule="auto"/>
        <w:ind w:left="709"/>
        <w:jc w:val="both"/>
        <w:rPr>
          <w:b/>
          <w:bCs/>
          <w:sz w:val="24"/>
          <w:szCs w:val="24"/>
        </w:rPr>
      </w:pPr>
      <w:r w:rsidRPr="00945C0F">
        <w:rPr>
          <w:b/>
          <w:bCs/>
          <w:sz w:val="24"/>
          <w:szCs w:val="24"/>
        </w:rPr>
        <w:t xml:space="preserve">RECEPCIÓN Y GESTIÓN DE LAS DENUNCIAS </w:t>
      </w:r>
    </w:p>
    <w:p w:rsidR="00FE0AE9" w:rsidRDefault="00FE0AE9" w:rsidP="00F93B3C">
      <w:pPr>
        <w:spacing w:after="0" w:line="276" w:lineRule="auto"/>
        <w:jc w:val="both"/>
        <w:rPr>
          <w:b/>
          <w:bCs/>
        </w:rPr>
      </w:pPr>
    </w:p>
    <w:p w:rsidR="00FE0AE9" w:rsidRPr="00A23CD4" w:rsidRDefault="00FE0AE9" w:rsidP="00A23CD4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A23CD4">
        <w:rPr>
          <w:b/>
          <w:bCs/>
          <w:sz w:val="24"/>
          <w:szCs w:val="24"/>
        </w:rPr>
        <w:t>Recepción y acuse de recibo</w:t>
      </w:r>
    </w:p>
    <w:p w:rsidR="00FE0AE9" w:rsidRDefault="00FE0AE9" w:rsidP="00F93B3C">
      <w:pPr>
        <w:spacing w:after="0" w:line="276" w:lineRule="auto"/>
        <w:jc w:val="both"/>
        <w:rPr>
          <w:b/>
          <w:bCs/>
        </w:rPr>
      </w:pPr>
    </w:p>
    <w:p w:rsidR="00FE0AE9" w:rsidRDefault="00FE0AE9" w:rsidP="00F93B3C">
      <w:pPr>
        <w:spacing w:after="0" w:line="276" w:lineRule="auto"/>
        <w:jc w:val="both"/>
      </w:pPr>
      <w:r w:rsidRPr="00EA67CA">
        <w:t xml:space="preserve">Una vez recibida una denuncia a través del canal de denuncias, </w:t>
      </w:r>
      <w:r w:rsidR="00EA67CA" w:rsidRPr="00EA67CA">
        <w:t>se procederá a emitir acuse de recibo de la misma</w:t>
      </w:r>
      <w:r w:rsidR="00EA67CA">
        <w:t xml:space="preserve"> al denunciante en un plazo no superior a siete (7) días naturales a</w:t>
      </w:r>
      <w:r w:rsidR="00551016">
        <w:t xml:space="preserve"> contar desde la </w:t>
      </w:r>
      <w:r w:rsidR="00EA67CA">
        <w:t xml:space="preserve">recepción. </w:t>
      </w:r>
    </w:p>
    <w:p w:rsidR="00EA67CA" w:rsidRDefault="00EA67CA" w:rsidP="00F93B3C">
      <w:pPr>
        <w:spacing w:after="0" w:line="276" w:lineRule="auto"/>
        <w:jc w:val="both"/>
      </w:pPr>
    </w:p>
    <w:p w:rsidR="00EA67CA" w:rsidRPr="00686308" w:rsidRDefault="00EA67CA" w:rsidP="00F93B3C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686308">
        <w:rPr>
          <w:b/>
          <w:bCs/>
          <w:sz w:val="24"/>
          <w:szCs w:val="24"/>
        </w:rPr>
        <w:t>Admisión a trámite</w:t>
      </w:r>
    </w:p>
    <w:p w:rsidR="00EA67CA" w:rsidRDefault="00EA67CA" w:rsidP="00F93B3C">
      <w:pPr>
        <w:spacing w:after="0" w:line="276" w:lineRule="auto"/>
        <w:jc w:val="both"/>
        <w:rPr>
          <w:b/>
          <w:bCs/>
        </w:rPr>
      </w:pPr>
    </w:p>
    <w:p w:rsidR="00EA67CA" w:rsidRPr="00466018" w:rsidRDefault="004C25EB" w:rsidP="00F93B3C">
      <w:pPr>
        <w:spacing w:after="0" w:line="276" w:lineRule="auto"/>
        <w:jc w:val="both"/>
      </w:pPr>
      <w:r>
        <w:t>Admitida a trámite</w:t>
      </w:r>
      <w:r w:rsidR="00EA67CA" w:rsidRPr="009D0CE0">
        <w:t xml:space="preserve"> una denuncia</w:t>
      </w:r>
      <w:r w:rsidR="00F851D3">
        <w:t>,</w:t>
      </w:r>
      <w:r w:rsidR="00EA67CA" w:rsidRPr="009D0CE0">
        <w:t xml:space="preserve"> se realizará un análisis inicial de l</w:t>
      </w:r>
      <w:r w:rsidR="009D0CE0" w:rsidRPr="009D0CE0">
        <w:t xml:space="preserve">os hechos denunciados con </w:t>
      </w:r>
      <w:r w:rsidR="009D0CE0" w:rsidRPr="00466018">
        <w:t xml:space="preserve">el objeto de determinar la veracidad, relevancia, objetividad y claridad de los mismos. </w:t>
      </w:r>
    </w:p>
    <w:p w:rsidR="009D0CE0" w:rsidRPr="00466018" w:rsidRDefault="009D0CE0" w:rsidP="00F93B3C">
      <w:pPr>
        <w:spacing w:after="0" w:line="276" w:lineRule="auto"/>
        <w:jc w:val="both"/>
      </w:pPr>
    </w:p>
    <w:p w:rsidR="009D0CE0" w:rsidRPr="00466018" w:rsidRDefault="009D0CE0" w:rsidP="00F93B3C">
      <w:pPr>
        <w:spacing w:after="0" w:line="276" w:lineRule="auto"/>
        <w:jc w:val="both"/>
      </w:pPr>
      <w:r w:rsidRPr="00466018">
        <w:t>El Comité de Cumplimiento</w:t>
      </w:r>
      <w:r w:rsidR="00551016" w:rsidRPr="00466018">
        <w:t>/Responsabilidad Social Corporativa</w:t>
      </w:r>
      <w:r w:rsidRPr="00466018">
        <w:t xml:space="preserve">, a los efectos de determinar la admisión a trámite de la denuncia, podrá requerir al denunciante, si </w:t>
      </w:r>
      <w:r w:rsidR="003178AE" w:rsidRPr="00466018">
        <w:t xml:space="preserve">este </w:t>
      </w:r>
      <w:r w:rsidRPr="00466018">
        <w:t xml:space="preserve">se hubiese identificado, que la aclare o complemente, aportando </w:t>
      </w:r>
      <w:r w:rsidR="003178AE" w:rsidRPr="00466018">
        <w:t xml:space="preserve">toda </w:t>
      </w:r>
      <w:r w:rsidRPr="00466018">
        <w:t xml:space="preserve">aquella documentación y/o información que pudieran ser necesarios para acreditar la existencia de una conducta irregular. </w:t>
      </w:r>
    </w:p>
    <w:p w:rsidR="009D0CE0" w:rsidRPr="00466018" w:rsidRDefault="009D0CE0" w:rsidP="00F93B3C">
      <w:pPr>
        <w:spacing w:after="0" w:line="276" w:lineRule="auto"/>
        <w:jc w:val="both"/>
      </w:pPr>
    </w:p>
    <w:p w:rsidR="009D0CE0" w:rsidRDefault="009D0CE0" w:rsidP="00F93B3C">
      <w:pPr>
        <w:spacing w:after="0" w:line="276" w:lineRule="auto"/>
        <w:jc w:val="both"/>
      </w:pPr>
      <w:r w:rsidRPr="00466018">
        <w:t xml:space="preserve">Realizado el análisis inicial, el </w:t>
      </w:r>
      <w:r w:rsidR="00686308" w:rsidRPr="00466018">
        <w:t xml:space="preserve">Comité de Cumplimiento/Responsabilidad Social Corporativa </w:t>
      </w:r>
      <w:r w:rsidRPr="00466018">
        <w:t>podrá:</w:t>
      </w:r>
      <w:r>
        <w:t xml:space="preserve"> </w:t>
      </w:r>
    </w:p>
    <w:p w:rsidR="009D0CE0" w:rsidRDefault="009D0CE0" w:rsidP="00F93B3C">
      <w:pPr>
        <w:spacing w:after="0" w:line="276" w:lineRule="auto"/>
        <w:jc w:val="both"/>
      </w:pPr>
    </w:p>
    <w:p w:rsidR="009D0CE0" w:rsidRDefault="009D0CE0" w:rsidP="00C30B05">
      <w:pPr>
        <w:pStyle w:val="Prrafodelista"/>
        <w:numPr>
          <w:ilvl w:val="0"/>
          <w:numId w:val="8"/>
        </w:numPr>
        <w:spacing w:after="0" w:line="276" w:lineRule="auto"/>
        <w:ind w:left="426" w:hanging="284"/>
        <w:jc w:val="both"/>
      </w:pPr>
      <w:r w:rsidRPr="00686308">
        <w:rPr>
          <w:b/>
          <w:bCs/>
          <w:u w:val="single"/>
        </w:rPr>
        <w:t>Admitir la denuncia</w:t>
      </w:r>
      <w:r>
        <w:t xml:space="preserve"> y continuar los trámites de investigación</w:t>
      </w:r>
      <w:r w:rsidR="001E28D1">
        <w:t xml:space="preserve">. </w:t>
      </w:r>
      <w:r>
        <w:t xml:space="preserve"> </w:t>
      </w:r>
    </w:p>
    <w:p w:rsidR="00F851D3" w:rsidRDefault="00F851D3" w:rsidP="00F851D3">
      <w:pPr>
        <w:pStyle w:val="Prrafodelista"/>
        <w:spacing w:after="0" w:line="276" w:lineRule="auto"/>
        <w:ind w:left="426"/>
        <w:jc w:val="both"/>
      </w:pPr>
    </w:p>
    <w:p w:rsidR="009D0CE0" w:rsidRDefault="009D0CE0" w:rsidP="00C30B05">
      <w:pPr>
        <w:pStyle w:val="Prrafodelista"/>
        <w:numPr>
          <w:ilvl w:val="0"/>
          <w:numId w:val="8"/>
        </w:numPr>
        <w:spacing w:after="0" w:line="276" w:lineRule="auto"/>
        <w:ind w:left="426" w:hanging="284"/>
        <w:jc w:val="both"/>
      </w:pPr>
      <w:r w:rsidRPr="00686308">
        <w:rPr>
          <w:b/>
          <w:bCs/>
          <w:u w:val="single"/>
        </w:rPr>
        <w:t>Inadmitir la denuncia</w:t>
      </w:r>
      <w:r>
        <w:t xml:space="preserve"> y proceder al archivo del expediente por alguna de las siguientes causas: </w:t>
      </w:r>
    </w:p>
    <w:p w:rsidR="009D0CE0" w:rsidRDefault="009D0CE0" w:rsidP="00F93B3C">
      <w:pPr>
        <w:spacing w:after="0" w:line="276" w:lineRule="auto"/>
        <w:jc w:val="both"/>
      </w:pPr>
    </w:p>
    <w:p w:rsidR="009D0CE0" w:rsidRDefault="009D0CE0" w:rsidP="000A6CDA">
      <w:pPr>
        <w:pStyle w:val="Prrafodelista"/>
        <w:numPr>
          <w:ilvl w:val="0"/>
          <w:numId w:val="7"/>
        </w:numPr>
        <w:spacing w:after="0" w:line="276" w:lineRule="auto"/>
        <w:ind w:hanging="654"/>
        <w:jc w:val="both"/>
      </w:pPr>
      <w:r>
        <w:lastRenderedPageBreak/>
        <w:t>La irregularidad comunicada no se encuentra comprendida dentro del ámbito material de</w:t>
      </w:r>
      <w:r w:rsidR="003178AE">
        <w:t>l canal de denuncias</w:t>
      </w:r>
      <w:r w:rsidR="00C30B05">
        <w:t xml:space="preserve">, </w:t>
      </w:r>
      <w:r w:rsidR="003178AE">
        <w:t xml:space="preserve">referido en el apartado </w:t>
      </w:r>
      <w:r w:rsidR="00551016">
        <w:t>I</w:t>
      </w:r>
      <w:r w:rsidR="003178AE">
        <w:t xml:space="preserve">).  </w:t>
      </w:r>
    </w:p>
    <w:p w:rsidR="003178AE" w:rsidRDefault="003178AE" w:rsidP="00C30B05">
      <w:pPr>
        <w:pStyle w:val="Prrafodelista"/>
        <w:numPr>
          <w:ilvl w:val="0"/>
          <w:numId w:val="7"/>
        </w:numPr>
        <w:spacing w:after="0" w:line="276" w:lineRule="auto"/>
        <w:ind w:hanging="654"/>
        <w:jc w:val="both"/>
      </w:pPr>
      <w:r>
        <w:t xml:space="preserve">La descripción de hechos es genérica, imprecisa e incompleta. </w:t>
      </w:r>
    </w:p>
    <w:p w:rsidR="003178AE" w:rsidRPr="009D0CE0" w:rsidRDefault="003178AE" w:rsidP="00C30B05">
      <w:pPr>
        <w:pStyle w:val="Prrafodelista"/>
        <w:numPr>
          <w:ilvl w:val="0"/>
          <w:numId w:val="7"/>
        </w:numPr>
        <w:spacing w:after="0" w:line="276" w:lineRule="auto"/>
        <w:ind w:hanging="654"/>
        <w:jc w:val="both"/>
      </w:pPr>
      <w:r>
        <w:t xml:space="preserve">La información facilitada no cumple con los requisitos de veracidad, relevancia, objetividad y claridad. </w:t>
      </w:r>
    </w:p>
    <w:p w:rsidR="004C25EB" w:rsidRDefault="004C25EB" w:rsidP="00F93B3C">
      <w:pPr>
        <w:spacing w:after="0" w:line="276" w:lineRule="auto"/>
        <w:jc w:val="both"/>
      </w:pPr>
    </w:p>
    <w:p w:rsidR="001E28D1" w:rsidRDefault="000A378B" w:rsidP="00F93B3C">
      <w:pPr>
        <w:spacing w:after="0" w:line="276" w:lineRule="auto"/>
        <w:jc w:val="both"/>
      </w:pPr>
      <w:r>
        <w:t xml:space="preserve">La admisión o inadmisión y archivo de la denuncia, de haberse identificado el denunciante, se </w:t>
      </w:r>
      <w:r w:rsidR="00F851D3">
        <w:t>comunicará</w:t>
      </w:r>
      <w:r>
        <w:t xml:space="preserve"> al Denunciante</w:t>
      </w:r>
      <w:r w:rsidR="007F631A">
        <w:t xml:space="preserve">. Todo ello sin perjuicio de que, si resultasen indicios de </w:t>
      </w:r>
      <w:r w:rsidR="00551016">
        <w:t xml:space="preserve">la existencia de </w:t>
      </w:r>
      <w:r w:rsidR="007F631A">
        <w:t>cualquiera otra infracción, se pudiera</w:t>
      </w:r>
      <w:r w:rsidR="00551016">
        <w:t>n</w:t>
      </w:r>
      <w:r w:rsidR="007F631A">
        <w:t xml:space="preserve"> poner en conocimiento los hechos </w:t>
      </w:r>
      <w:r w:rsidR="00551016">
        <w:t xml:space="preserve">al </w:t>
      </w:r>
      <w:r w:rsidR="007F631A">
        <w:t>departamento funcional correspondiente.</w:t>
      </w:r>
      <w:r w:rsidR="004C25EB">
        <w:t xml:space="preserve"> </w:t>
      </w:r>
    </w:p>
    <w:p w:rsidR="000A378B" w:rsidRDefault="000A378B" w:rsidP="00F93B3C">
      <w:pPr>
        <w:spacing w:after="0" w:line="276" w:lineRule="auto"/>
        <w:jc w:val="both"/>
      </w:pPr>
    </w:p>
    <w:p w:rsidR="000A351C" w:rsidRDefault="000A351C" w:rsidP="00F93B3C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4C25EB" w:rsidRPr="000A6CDA" w:rsidRDefault="004C25EB" w:rsidP="000A6CDA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0A6CDA">
        <w:rPr>
          <w:b/>
          <w:bCs/>
          <w:sz w:val="24"/>
          <w:szCs w:val="24"/>
        </w:rPr>
        <w:t>Tramitación de la investigación</w:t>
      </w:r>
      <w:r w:rsidRPr="000A6CD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</w:p>
    <w:p w:rsidR="00924D5A" w:rsidRDefault="00924D5A" w:rsidP="00F93B3C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924D5A" w:rsidRDefault="00924D5A" w:rsidP="00F93B3C">
      <w:pPr>
        <w:spacing w:after="0" w:line="276" w:lineRule="auto"/>
        <w:jc w:val="both"/>
      </w:pPr>
      <w:r>
        <w:t xml:space="preserve">La investigación se deberá iniciar a la mayor brevedad posible, no pudiendo prolongarse por un plazo superior a tres (3) meses </w:t>
      </w:r>
      <w:r w:rsidR="00FE2988">
        <w:t>a contar desde el acuse de</w:t>
      </w:r>
      <w:r>
        <w:t xml:space="preserve"> recibo</w:t>
      </w:r>
      <w:r w:rsidR="00FE2988">
        <w:t xml:space="preserve"> de la denuncia</w:t>
      </w:r>
      <w:r>
        <w:t xml:space="preserve">, salvo en los casos de especial complejidad </w:t>
      </w:r>
      <w:r w:rsidRPr="00DD61AF">
        <w:t>que requieran una ampliación del plazo, en cuyo caso, podrá extenderse hasta un máximo de otros tres</w:t>
      </w:r>
      <w:r>
        <w:t xml:space="preserve"> (3)</w:t>
      </w:r>
      <w:r w:rsidRPr="00DD61AF">
        <w:t xml:space="preserve"> meses adicionales</w:t>
      </w:r>
      <w:r>
        <w:t xml:space="preserve">. </w:t>
      </w:r>
    </w:p>
    <w:p w:rsidR="007C1247" w:rsidRDefault="007C1247" w:rsidP="00F93B3C">
      <w:pPr>
        <w:spacing w:after="0" w:line="276" w:lineRule="auto"/>
        <w:jc w:val="both"/>
      </w:pPr>
    </w:p>
    <w:p w:rsidR="007C1247" w:rsidRPr="00924D5A" w:rsidRDefault="007C1247" w:rsidP="00F93B3C">
      <w:pPr>
        <w:spacing w:after="0" w:line="276" w:lineRule="auto"/>
        <w:jc w:val="both"/>
      </w:pPr>
      <w:r>
        <w:t>En el caso de que la denuncia se dirigiera contra algún miembro del Comité de Cumplimiento</w:t>
      </w:r>
      <w:r w:rsidR="00FE2988">
        <w:t>/Responsabilidad Social Corporativa</w:t>
      </w:r>
      <w:r>
        <w:t xml:space="preserve">, este no podrá participar en la resolución del expediente. Asimismo, </w:t>
      </w:r>
      <w:r w:rsidR="00CB6303">
        <w:t>si un miembro de</w:t>
      </w:r>
      <w:r w:rsidR="00686308">
        <w:t xml:space="preserve">l Comité </w:t>
      </w:r>
      <w:r w:rsidR="00C30B05">
        <w:t xml:space="preserve">Cumplimiento/Responsabilidad Social Corporativa </w:t>
      </w:r>
      <w:r w:rsidR="00CB6303">
        <w:t>se encontrará en conflicto de interés en relación a los hechos investigados</w:t>
      </w:r>
      <w:r w:rsidR="00686308">
        <w:t xml:space="preserve">, </w:t>
      </w:r>
      <w:r w:rsidR="00CB6303">
        <w:t xml:space="preserve">deberá abstenerse de intervenir. </w:t>
      </w:r>
    </w:p>
    <w:p w:rsidR="004C25EB" w:rsidRDefault="004C25EB" w:rsidP="00F93B3C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4C25EB" w:rsidRPr="00466018" w:rsidRDefault="00AD740E" w:rsidP="00F93B3C">
      <w:pPr>
        <w:spacing w:after="0" w:line="276" w:lineRule="auto"/>
        <w:jc w:val="both"/>
      </w:pPr>
      <w:r w:rsidRPr="00466018">
        <w:t>Eventualmente, el</w:t>
      </w:r>
      <w:r w:rsidR="00924D5A" w:rsidRPr="00466018">
        <w:t xml:space="preserve"> Comité de Cumplimiento</w:t>
      </w:r>
      <w:r w:rsidR="00FE2988" w:rsidRPr="00466018">
        <w:t>/Responsabilidad Social Corporativa</w:t>
      </w:r>
      <w:r w:rsidR="00924D5A" w:rsidRPr="00466018">
        <w:t xml:space="preserve"> podrá poner los hechos denunciados en conocimiento del Consejo de Administración con carácter previo a la conclusión de la investigación cuando</w:t>
      </w:r>
      <w:r w:rsidR="007C1247" w:rsidRPr="00466018">
        <w:t>,</w:t>
      </w:r>
      <w:r w:rsidR="00924D5A" w:rsidRPr="00466018">
        <w:t xml:space="preserve"> atendiendo a la relevancia </w:t>
      </w:r>
      <w:r w:rsidR="007C1247" w:rsidRPr="00466018">
        <w:t>y a las circunstancias concurrentes de los mismos</w:t>
      </w:r>
      <w:r w:rsidR="00924D5A" w:rsidRPr="00466018">
        <w:t xml:space="preserve">, éstos pudieran </w:t>
      </w:r>
      <w:r w:rsidR="007C1247" w:rsidRPr="00466018">
        <w:t xml:space="preserve">suponer un impacto o afectación relevante, ya sea económica, reputacional o de responsabilidad de cualquier tipo para </w:t>
      </w:r>
      <w:r w:rsidR="00E62501">
        <w:t>Televés Corporación</w:t>
      </w:r>
      <w:r w:rsidR="007C1247" w:rsidRPr="00466018">
        <w:t xml:space="preserve">. </w:t>
      </w:r>
    </w:p>
    <w:p w:rsidR="00FE2988" w:rsidRPr="00466018" w:rsidRDefault="00FE2988" w:rsidP="00F93B3C">
      <w:pPr>
        <w:spacing w:after="0" w:line="276" w:lineRule="auto"/>
        <w:jc w:val="both"/>
      </w:pPr>
    </w:p>
    <w:p w:rsidR="00FE2988" w:rsidRPr="00466018" w:rsidRDefault="00FE2988" w:rsidP="00F93B3C">
      <w:pPr>
        <w:spacing w:after="0" w:line="276" w:lineRule="auto"/>
        <w:jc w:val="both"/>
      </w:pPr>
      <w:r w:rsidRPr="00466018">
        <w:t xml:space="preserve">El desarrollo de la investigación se efectuará en aplicación de los principios </w:t>
      </w:r>
      <w:r w:rsidRPr="00466018">
        <w:rPr>
          <w:rStyle w:val="markedcontent"/>
        </w:rPr>
        <w:t>y garantías del canal de denuncias</w:t>
      </w:r>
      <w:r w:rsidR="00AD740E" w:rsidRPr="00466018">
        <w:rPr>
          <w:rStyle w:val="markedcontent"/>
        </w:rPr>
        <w:t xml:space="preserve">, referidos </w:t>
      </w:r>
      <w:r w:rsidRPr="00466018">
        <w:rPr>
          <w:rStyle w:val="markedcontent"/>
        </w:rPr>
        <w:t xml:space="preserve">anteriormente </w:t>
      </w:r>
      <w:r w:rsidR="00AD740E" w:rsidRPr="00466018">
        <w:rPr>
          <w:rStyle w:val="markedcontent"/>
        </w:rPr>
        <w:t xml:space="preserve">en el </w:t>
      </w:r>
      <w:r w:rsidR="00AD740E" w:rsidRPr="00466018">
        <w:rPr>
          <w:rStyle w:val="markedcontent"/>
          <w:i/>
          <w:iCs/>
        </w:rPr>
        <w:t>apartado IV</w:t>
      </w:r>
      <w:r w:rsidRPr="00466018">
        <w:rPr>
          <w:rStyle w:val="markedcontent"/>
        </w:rPr>
        <w:t xml:space="preserve">. </w:t>
      </w:r>
    </w:p>
    <w:p w:rsidR="00FE2988" w:rsidRPr="00466018" w:rsidRDefault="00FE2988" w:rsidP="00F93B3C">
      <w:pPr>
        <w:spacing w:after="0" w:line="276" w:lineRule="auto"/>
        <w:jc w:val="both"/>
      </w:pPr>
    </w:p>
    <w:p w:rsidR="00FE2988" w:rsidRDefault="00FE2988" w:rsidP="00F93B3C">
      <w:pPr>
        <w:autoSpaceDE w:val="0"/>
        <w:autoSpaceDN w:val="0"/>
        <w:adjustRightInd w:val="0"/>
        <w:spacing w:after="0" w:line="276" w:lineRule="auto"/>
        <w:jc w:val="both"/>
      </w:pPr>
      <w:r w:rsidRPr="00466018">
        <w:t>El Comité de Cumplimiento/Responsabilidad Social Corporativa podrán recabar, en cualquier momento del procedimiento, el asesoramiento y la colaboración</w:t>
      </w:r>
      <w:r w:rsidR="00C30B05" w:rsidRPr="00466018">
        <w:t xml:space="preserve"> de</w:t>
      </w:r>
      <w:r w:rsidRPr="00466018">
        <w:t xml:space="preserve"> cualquier otra persona </w:t>
      </w:r>
      <w:r w:rsidR="0054468D" w:rsidRPr="00466018">
        <w:t xml:space="preserve">o departamento </w:t>
      </w:r>
      <w:r w:rsidRPr="00466018">
        <w:t>de</w:t>
      </w:r>
      <w:r w:rsidR="00CD76C4" w:rsidRPr="00466018">
        <w:t xml:space="preserve"> </w:t>
      </w:r>
      <w:r w:rsidR="00E62501">
        <w:t>Televés Corporación</w:t>
      </w:r>
      <w:r w:rsidRPr="00466018">
        <w:t xml:space="preserve">, a efectos de determinar las consecuencias y forma de actuación </w:t>
      </w:r>
      <w:r w:rsidR="00A23CD4">
        <w:t>en</w:t>
      </w:r>
      <w:r w:rsidR="00C30B05" w:rsidRPr="00466018">
        <w:t xml:space="preserve"> la</w:t>
      </w:r>
      <w:r w:rsidRPr="00466018">
        <w:t xml:space="preserve"> denuncia</w:t>
      </w:r>
      <w:r w:rsidR="00AD740E" w:rsidRPr="00466018">
        <w:t xml:space="preserve"> investigada</w:t>
      </w:r>
      <w:r w:rsidRPr="00466018">
        <w:t>.</w:t>
      </w:r>
    </w:p>
    <w:p w:rsidR="007E4671" w:rsidRDefault="007E4671" w:rsidP="00F93B3C">
      <w:pPr>
        <w:autoSpaceDE w:val="0"/>
        <w:autoSpaceDN w:val="0"/>
        <w:adjustRightInd w:val="0"/>
        <w:spacing w:after="0" w:line="276" w:lineRule="auto"/>
        <w:jc w:val="both"/>
      </w:pPr>
    </w:p>
    <w:p w:rsidR="00F851D3" w:rsidRDefault="0025477A" w:rsidP="0025477A">
      <w:pPr>
        <w:autoSpaceDE w:val="0"/>
        <w:autoSpaceDN w:val="0"/>
        <w:adjustRightInd w:val="0"/>
        <w:spacing w:after="0" w:line="276" w:lineRule="auto"/>
        <w:jc w:val="both"/>
      </w:pPr>
      <w:r>
        <w:t>E</w:t>
      </w:r>
      <w:r w:rsidR="007E4671">
        <w:t xml:space="preserve">l Denunciante, en cualquier momento, podrá </w:t>
      </w:r>
      <w:r>
        <w:t>conocer el estado su</w:t>
      </w:r>
      <w:r w:rsidR="007E4671">
        <w:t xml:space="preserve"> denuncia</w:t>
      </w:r>
      <w:r>
        <w:t>,</w:t>
      </w:r>
      <w:r w:rsidR="007E4671">
        <w:t xml:space="preserve"> </w:t>
      </w:r>
      <w:r w:rsidR="00070DF7">
        <w:t>dirigiendo una comunicación a la dirección postal o correo electrónico del Canal de Denuncias</w:t>
      </w:r>
      <w:r w:rsidR="00A23CD4">
        <w:t xml:space="preserve">, </w:t>
      </w:r>
      <w:r w:rsidR="00070DF7">
        <w:t>indicado</w:t>
      </w:r>
      <w:r w:rsidR="00A23CD4">
        <w:t>s</w:t>
      </w:r>
      <w:r w:rsidR="00070DF7">
        <w:t xml:space="preserve"> anteriormente. En </w:t>
      </w:r>
      <w:r w:rsidR="00A23CD4">
        <w:t>dicha comunicación</w:t>
      </w:r>
      <w:r w:rsidR="00070DF7">
        <w:t xml:space="preserve"> deberá indicar el número identificador de la denuncia obtenido con el justificante de recepción de la misma. </w:t>
      </w:r>
      <w:r>
        <w:t>En el caso de denunciantes anónimos,</w:t>
      </w:r>
      <w:r w:rsidR="00A23CD4">
        <w:t xml:space="preserve"> con el fin de evitar la identificación del mismo,</w:t>
      </w:r>
      <w:r>
        <w:t xml:space="preserve"> </w:t>
      </w:r>
      <w:r w:rsidR="00070DF7">
        <w:t>dicha</w:t>
      </w:r>
      <w:r>
        <w:t xml:space="preserve"> comunicación se deberá </w:t>
      </w:r>
      <w:r w:rsidR="00070DF7">
        <w:t>remitir desde una dirección de correo electrónico que no identifique al</w:t>
      </w:r>
      <w:r w:rsidR="00A23CD4">
        <w:t xml:space="preserve"> propio</w:t>
      </w:r>
      <w:r w:rsidR="00070DF7">
        <w:t xml:space="preserve"> denunciante. </w:t>
      </w:r>
    </w:p>
    <w:p w:rsidR="00F851D3" w:rsidRDefault="00F851D3" w:rsidP="00F93B3C">
      <w:pPr>
        <w:autoSpaceDE w:val="0"/>
        <w:autoSpaceDN w:val="0"/>
        <w:adjustRightInd w:val="0"/>
        <w:spacing w:after="0" w:line="276" w:lineRule="auto"/>
        <w:jc w:val="both"/>
      </w:pPr>
    </w:p>
    <w:p w:rsidR="00FE2988" w:rsidRPr="000A6CDA" w:rsidRDefault="00E843D6" w:rsidP="000A6CDA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0A6CDA">
        <w:rPr>
          <w:b/>
          <w:bCs/>
          <w:sz w:val="24"/>
          <w:szCs w:val="24"/>
        </w:rPr>
        <w:t>Conclusiones y resolución</w:t>
      </w:r>
      <w:r w:rsidR="00FE2988" w:rsidRPr="000A6CDA">
        <w:rPr>
          <w:b/>
          <w:bCs/>
          <w:sz w:val="24"/>
          <w:szCs w:val="24"/>
        </w:rPr>
        <w:t xml:space="preserve"> </w:t>
      </w:r>
      <w:r w:rsidR="00C30B05" w:rsidRPr="000A6CDA">
        <w:rPr>
          <w:b/>
          <w:bCs/>
          <w:sz w:val="24"/>
          <w:szCs w:val="24"/>
        </w:rPr>
        <w:t xml:space="preserve">del </w:t>
      </w:r>
      <w:r w:rsidR="00FE2988" w:rsidRPr="000A6CDA">
        <w:rPr>
          <w:b/>
          <w:bCs/>
          <w:sz w:val="24"/>
          <w:szCs w:val="24"/>
        </w:rPr>
        <w:t>expediente</w:t>
      </w:r>
    </w:p>
    <w:p w:rsidR="00E843D6" w:rsidRDefault="00E843D6" w:rsidP="00F93B3C">
      <w:pPr>
        <w:autoSpaceDE w:val="0"/>
        <w:autoSpaceDN w:val="0"/>
        <w:adjustRightInd w:val="0"/>
        <w:spacing w:after="0" w:line="276" w:lineRule="auto"/>
        <w:jc w:val="both"/>
        <w:rPr>
          <w:b/>
          <w:bCs/>
        </w:rPr>
      </w:pPr>
    </w:p>
    <w:p w:rsidR="007912C0" w:rsidRPr="00466018" w:rsidRDefault="00246CEB" w:rsidP="00F93B3C">
      <w:pPr>
        <w:autoSpaceDE w:val="0"/>
        <w:autoSpaceDN w:val="0"/>
        <w:adjustRightInd w:val="0"/>
        <w:spacing w:after="0" w:line="276" w:lineRule="auto"/>
        <w:jc w:val="both"/>
      </w:pPr>
      <w:r w:rsidRPr="00246CEB">
        <w:t xml:space="preserve">Una vez </w:t>
      </w:r>
      <w:r w:rsidRPr="00466018">
        <w:t>concluida la investigación, el resultado de la misma y la propuesta de resolución se elevará al Comité de Cumplimiento</w:t>
      </w:r>
      <w:r w:rsidR="00466018" w:rsidRPr="00466018">
        <w:t>/</w:t>
      </w:r>
      <w:r w:rsidRPr="00466018">
        <w:t>Responsabilidad Social Corporativa</w:t>
      </w:r>
      <w:r w:rsidR="007912C0" w:rsidRPr="00466018">
        <w:t xml:space="preserve">, para que adopte </w:t>
      </w:r>
      <w:r w:rsidR="00EE61A1" w:rsidRPr="00466018">
        <w:t>la resolución</w:t>
      </w:r>
      <w:r w:rsidR="00C30B05" w:rsidRPr="00466018">
        <w:t xml:space="preserve"> que proceda</w:t>
      </w:r>
      <w:r w:rsidR="007912C0" w:rsidRPr="00466018">
        <w:t xml:space="preserve">. </w:t>
      </w:r>
    </w:p>
    <w:p w:rsidR="007912C0" w:rsidRPr="00466018" w:rsidRDefault="007912C0" w:rsidP="00F93B3C">
      <w:pPr>
        <w:autoSpaceDE w:val="0"/>
        <w:autoSpaceDN w:val="0"/>
        <w:adjustRightInd w:val="0"/>
        <w:spacing w:after="0" w:line="276" w:lineRule="auto"/>
        <w:jc w:val="both"/>
      </w:pPr>
    </w:p>
    <w:p w:rsidR="00BA6B17" w:rsidRPr="00466018" w:rsidRDefault="00EE61A1" w:rsidP="00F93B3C">
      <w:pPr>
        <w:autoSpaceDE w:val="0"/>
        <w:autoSpaceDN w:val="0"/>
        <w:adjustRightInd w:val="0"/>
        <w:spacing w:after="0" w:line="276" w:lineRule="auto"/>
        <w:jc w:val="both"/>
      </w:pPr>
      <w:r w:rsidRPr="00466018">
        <w:t>En el caso de que la</w:t>
      </w:r>
      <w:r w:rsidR="007912C0" w:rsidRPr="00466018">
        <w:t xml:space="preserve"> resolución concluyera la comisión por algún empleado de irregularidades o acto</w:t>
      </w:r>
      <w:r w:rsidRPr="00466018">
        <w:t>s</w:t>
      </w:r>
      <w:r w:rsidR="007912C0" w:rsidRPr="00466018">
        <w:t xml:space="preserve"> contrario</w:t>
      </w:r>
      <w:r w:rsidRPr="00466018">
        <w:t>s</w:t>
      </w:r>
      <w:r w:rsidR="007912C0" w:rsidRPr="00466018">
        <w:t xml:space="preserve"> al Manual de Cumplimiento Normativo, </w:t>
      </w:r>
      <w:r w:rsidR="004F27B2" w:rsidRPr="00466018">
        <w:t xml:space="preserve">normas de </w:t>
      </w:r>
      <w:r w:rsidR="00F851D3" w:rsidRPr="00466018">
        <w:t>conducta</w:t>
      </w:r>
      <w:r w:rsidR="004F27B2" w:rsidRPr="00466018">
        <w:t xml:space="preserve"> del </w:t>
      </w:r>
      <w:r w:rsidR="007912C0" w:rsidRPr="00466018">
        <w:t xml:space="preserve">Código Ético </w:t>
      </w:r>
      <w:r w:rsidR="004F27B2" w:rsidRPr="00466018">
        <w:t>o</w:t>
      </w:r>
      <w:r w:rsidR="007912C0" w:rsidRPr="00466018">
        <w:t xml:space="preserve"> demás normativa interna</w:t>
      </w:r>
      <w:r w:rsidR="004F27B2" w:rsidRPr="00466018">
        <w:t xml:space="preserve"> o externa aplicable</w:t>
      </w:r>
      <w:r w:rsidR="007912C0" w:rsidRPr="00466018">
        <w:t xml:space="preserve">, se dará traslado a la Dirección de Personal y </w:t>
      </w:r>
      <w:proofErr w:type="gramStart"/>
      <w:r w:rsidR="007912C0" w:rsidRPr="00466018">
        <w:t>RR</w:t>
      </w:r>
      <w:r w:rsidR="00A23CD4">
        <w:t>.</w:t>
      </w:r>
      <w:r w:rsidR="007912C0" w:rsidRPr="00466018">
        <w:t>HH</w:t>
      </w:r>
      <w:proofErr w:type="gramEnd"/>
      <w:r w:rsidR="007912C0" w:rsidRPr="00466018">
        <w:t xml:space="preserve"> </w:t>
      </w:r>
      <w:r w:rsidR="004F27B2" w:rsidRPr="00466018">
        <w:t>C</w:t>
      </w:r>
      <w:r w:rsidR="007912C0" w:rsidRPr="00466018">
        <w:t xml:space="preserve">orporativa, para la aplicación de las medidas </w:t>
      </w:r>
      <w:r w:rsidR="004F27B2" w:rsidRPr="00466018">
        <w:t xml:space="preserve">disciplinarias pertinentes. Previa su adopción se informará al Comité de Cumplimiento/Responsabilidad Social Corporativa. </w:t>
      </w:r>
    </w:p>
    <w:p w:rsidR="00BA6B17" w:rsidRPr="00466018" w:rsidRDefault="00BA6B17" w:rsidP="00F93B3C">
      <w:pPr>
        <w:autoSpaceDE w:val="0"/>
        <w:autoSpaceDN w:val="0"/>
        <w:adjustRightInd w:val="0"/>
        <w:spacing w:after="0" w:line="276" w:lineRule="auto"/>
        <w:jc w:val="both"/>
      </w:pPr>
    </w:p>
    <w:p w:rsidR="004F27B2" w:rsidRDefault="00EE61A1" w:rsidP="00F93B3C">
      <w:pPr>
        <w:autoSpaceDE w:val="0"/>
        <w:autoSpaceDN w:val="0"/>
        <w:adjustRightInd w:val="0"/>
        <w:spacing w:after="0" w:line="276" w:lineRule="auto"/>
        <w:jc w:val="both"/>
      </w:pPr>
      <w:r w:rsidRPr="00466018">
        <w:t>Por otra parte, si la</w:t>
      </w:r>
      <w:r w:rsidR="004F27B2" w:rsidRPr="00466018">
        <w:t xml:space="preserve"> resolución concluyera la comisión por algún proveedor de irregularidades o acto</w:t>
      </w:r>
      <w:r w:rsidRPr="00466018">
        <w:t>s</w:t>
      </w:r>
      <w:r w:rsidR="004F27B2" w:rsidRPr="00466018">
        <w:t xml:space="preserve"> contrario</w:t>
      </w:r>
      <w:r w:rsidRPr="00466018">
        <w:t>s</w:t>
      </w:r>
      <w:r w:rsidR="004F27B2" w:rsidRPr="00466018">
        <w:t xml:space="preserve"> al Manual de Cumplimiento Normativo, normas de actuación del Código Ético, Código de Conducta de Proveedores o demás normativa interna o externa aplicable, se dará traslado a la Dirección de Aprovisionamientos (</w:t>
      </w:r>
      <w:r w:rsidR="004F27B2">
        <w:t xml:space="preserve">Compras), para </w:t>
      </w:r>
      <w:r>
        <w:t xml:space="preserve">el ejercicio de medidas correctivas y derechos contractuales frente al proveedor en cuestión. Previa su adopción se informará al Comité de Cumplimiento/Responsabilidad Social Corporativa. </w:t>
      </w:r>
    </w:p>
    <w:p w:rsidR="004F27B2" w:rsidRDefault="004F27B2" w:rsidP="00F93B3C">
      <w:pPr>
        <w:autoSpaceDE w:val="0"/>
        <w:autoSpaceDN w:val="0"/>
        <w:adjustRightInd w:val="0"/>
        <w:spacing w:after="0" w:line="276" w:lineRule="auto"/>
        <w:jc w:val="both"/>
      </w:pPr>
    </w:p>
    <w:p w:rsidR="00E843D6" w:rsidRPr="00417C68" w:rsidRDefault="00417C68" w:rsidP="00F93B3C">
      <w:pPr>
        <w:autoSpaceDE w:val="0"/>
        <w:autoSpaceDN w:val="0"/>
        <w:adjustRightInd w:val="0"/>
        <w:spacing w:after="0" w:line="276" w:lineRule="auto"/>
        <w:jc w:val="both"/>
      </w:pPr>
      <w:r>
        <w:t xml:space="preserve">En el caso de que la irregularidad denunciada, fuera constitutiva de delito </w:t>
      </w:r>
      <w:r w:rsidR="00BA6B17">
        <w:t xml:space="preserve">de </w:t>
      </w:r>
      <w:r>
        <w:t>cualquier clase</w:t>
      </w:r>
      <w:r w:rsidR="00C30B05">
        <w:t>,</w:t>
      </w:r>
      <w:r>
        <w:t xml:space="preserve"> el </w:t>
      </w:r>
      <w:r w:rsidR="00E843D6" w:rsidRPr="00417C68">
        <w:t>Comité de Cumplimiento comunicará el hecho a las autoridades competentes</w:t>
      </w:r>
      <w:r w:rsidR="00BA6B17">
        <w:t xml:space="preserve">. </w:t>
      </w:r>
    </w:p>
    <w:p w:rsidR="00EE61A1" w:rsidRDefault="00EE61A1" w:rsidP="00F93B3C">
      <w:pPr>
        <w:autoSpaceDE w:val="0"/>
        <w:autoSpaceDN w:val="0"/>
        <w:adjustRightInd w:val="0"/>
        <w:spacing w:after="0" w:line="276" w:lineRule="auto"/>
        <w:rPr>
          <w:rFonts w:ascii="HelveticaNeue" w:hAnsi="HelveticaNeue" w:cs="HelveticaNeue"/>
        </w:rPr>
      </w:pPr>
    </w:p>
    <w:p w:rsidR="00E843D6" w:rsidRPr="00417C68" w:rsidRDefault="00E843D6" w:rsidP="00F93B3C">
      <w:pPr>
        <w:autoSpaceDE w:val="0"/>
        <w:autoSpaceDN w:val="0"/>
        <w:adjustRightInd w:val="0"/>
        <w:spacing w:after="0" w:line="276" w:lineRule="auto"/>
        <w:jc w:val="both"/>
      </w:pPr>
      <w:r w:rsidRPr="00417C68">
        <w:t>Cuando</w:t>
      </w:r>
      <w:r w:rsidR="00F851D3">
        <w:t xml:space="preserve">, </w:t>
      </w:r>
      <w:r w:rsidRPr="00417C68">
        <w:t>como resultado del expediente</w:t>
      </w:r>
      <w:r w:rsidR="00F851D3">
        <w:t>,</w:t>
      </w:r>
      <w:r w:rsidRPr="00417C68">
        <w:t xml:space="preserve"> se ponga de manifiesto la posible adopción</w:t>
      </w:r>
      <w:r w:rsidR="00417C68">
        <w:t xml:space="preserve"> </w:t>
      </w:r>
      <w:r w:rsidRPr="00417C68">
        <w:t xml:space="preserve">de actuaciones legales por parte de </w:t>
      </w:r>
      <w:r w:rsidR="00466018">
        <w:t>la Corporación</w:t>
      </w:r>
      <w:r w:rsidRPr="00417C68">
        <w:t>, se dará traslado de las actuaciones</w:t>
      </w:r>
      <w:r w:rsidR="00417C68" w:rsidRPr="00417C68">
        <w:t xml:space="preserve"> </w:t>
      </w:r>
      <w:r w:rsidRPr="00417C68">
        <w:t>a la Dirección de Asesoría Jurídica Corporativa</w:t>
      </w:r>
      <w:r w:rsidR="000B506F">
        <w:t xml:space="preserve"> al objeto de valorar la adopción</w:t>
      </w:r>
      <w:r w:rsidRPr="00417C68">
        <w:t xml:space="preserve"> de actuaciones</w:t>
      </w:r>
      <w:r w:rsidR="00417C68">
        <w:t xml:space="preserve"> </w:t>
      </w:r>
      <w:r w:rsidRPr="00417C68">
        <w:t xml:space="preserve">administrativas o judiciales pertinentes, sobre </w:t>
      </w:r>
      <w:r w:rsidR="000B506F">
        <w:t xml:space="preserve">las que se informará </w:t>
      </w:r>
      <w:r w:rsidRPr="00417C68">
        <w:t>al Comité de Cumplimiento.</w:t>
      </w:r>
    </w:p>
    <w:p w:rsidR="00FE2988" w:rsidRDefault="00FE2988" w:rsidP="00F93B3C">
      <w:pPr>
        <w:autoSpaceDE w:val="0"/>
        <w:autoSpaceDN w:val="0"/>
        <w:adjustRightInd w:val="0"/>
        <w:spacing w:after="0" w:line="276" w:lineRule="auto"/>
        <w:jc w:val="both"/>
        <w:rPr>
          <w:b/>
          <w:bCs/>
        </w:rPr>
      </w:pPr>
    </w:p>
    <w:p w:rsidR="002852E1" w:rsidRDefault="00242D06" w:rsidP="00F93B3C">
      <w:pPr>
        <w:autoSpaceDE w:val="0"/>
        <w:autoSpaceDN w:val="0"/>
        <w:adjustRightInd w:val="0"/>
        <w:spacing w:after="0" w:line="276" w:lineRule="auto"/>
        <w:jc w:val="both"/>
      </w:pPr>
      <w:r>
        <w:t>L</w:t>
      </w:r>
      <w:r w:rsidR="00067A0A" w:rsidRPr="0074772F">
        <w:t xml:space="preserve">a decisión </w:t>
      </w:r>
      <w:r>
        <w:t xml:space="preserve">y medidas finalmente adoptadas </w:t>
      </w:r>
      <w:r w:rsidR="00067A0A" w:rsidRPr="0074772F">
        <w:t>en relación con los hechos denunciados</w:t>
      </w:r>
      <w:r>
        <w:t xml:space="preserve"> serán notificadas al denunciante</w:t>
      </w:r>
      <w:r w:rsidR="00067A0A" w:rsidRPr="0074772F">
        <w:t xml:space="preserve">, salvo que las circunstancias del caso no </w:t>
      </w:r>
      <w:r w:rsidR="000B506F">
        <w:t>aconsejen dicha comunicación</w:t>
      </w:r>
      <w:r w:rsidR="00067A0A" w:rsidRPr="0074772F">
        <w:t xml:space="preserve"> para salvaguardar la investigación judicial o policial o de cualquier otra índole que pudiera tener que llevarse a cabo.</w:t>
      </w:r>
    </w:p>
    <w:p w:rsidR="000A6CDA" w:rsidRDefault="000A6CDA" w:rsidP="00F93B3C">
      <w:pPr>
        <w:autoSpaceDE w:val="0"/>
        <w:autoSpaceDN w:val="0"/>
        <w:adjustRightInd w:val="0"/>
        <w:spacing w:after="0" w:line="276" w:lineRule="auto"/>
        <w:jc w:val="both"/>
        <w:rPr>
          <w:b/>
          <w:bCs/>
        </w:rPr>
      </w:pPr>
    </w:p>
    <w:p w:rsidR="000A351C" w:rsidRDefault="000A351C" w:rsidP="00F93B3C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2852E1" w:rsidRPr="000A6CDA" w:rsidRDefault="000A6CDA" w:rsidP="000A6CDA">
      <w:pPr>
        <w:pStyle w:val="Prrafodelista"/>
        <w:numPr>
          <w:ilvl w:val="0"/>
          <w:numId w:val="9"/>
        </w:numPr>
        <w:spacing w:after="0" w:line="276" w:lineRule="auto"/>
        <w:ind w:left="709"/>
        <w:jc w:val="both"/>
        <w:rPr>
          <w:b/>
          <w:bCs/>
          <w:sz w:val="24"/>
          <w:szCs w:val="24"/>
        </w:rPr>
      </w:pPr>
      <w:r w:rsidRPr="000A6CDA">
        <w:rPr>
          <w:b/>
          <w:bCs/>
          <w:sz w:val="24"/>
          <w:szCs w:val="24"/>
        </w:rPr>
        <w:t xml:space="preserve">PROTECCIÓN DE DATOS </w:t>
      </w:r>
    </w:p>
    <w:p w:rsidR="000D4A2F" w:rsidRDefault="000D4A2F" w:rsidP="00F93B3C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0D4A2F" w:rsidRPr="000D4A2F" w:rsidRDefault="000D4A2F" w:rsidP="00F93B3C">
      <w:pPr>
        <w:spacing w:after="0" w:line="276" w:lineRule="auto"/>
      </w:pPr>
      <w:r w:rsidRPr="000D4A2F">
        <w:t>A continuación</w:t>
      </w:r>
      <w:r>
        <w:t xml:space="preserve">, </w:t>
      </w:r>
      <w:r w:rsidR="002B5010">
        <w:t>se proporciona la información relevante en materia de protección de datos</w:t>
      </w:r>
      <w:r>
        <w:t xml:space="preserve">: </w:t>
      </w:r>
    </w:p>
    <w:p w:rsidR="000D4A2F" w:rsidRDefault="000D4A2F" w:rsidP="00F93B3C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A23CD4" w:rsidRDefault="000D4A2F" w:rsidP="00F93B3C">
      <w:pPr>
        <w:spacing w:after="0" w:line="276" w:lineRule="auto"/>
        <w:jc w:val="both"/>
      </w:pPr>
      <w:r>
        <w:t>•</w:t>
      </w:r>
      <w:proofErr w:type="gramStart"/>
      <w:r w:rsidRPr="000D4A2F">
        <w:rPr>
          <w:b/>
          <w:bCs/>
        </w:rPr>
        <w:t>Responsable</w:t>
      </w:r>
      <w:proofErr w:type="gramEnd"/>
      <w:r w:rsidRPr="000D4A2F">
        <w:rPr>
          <w:b/>
          <w:bCs/>
        </w:rPr>
        <w:t xml:space="preserve"> del Tratamiento</w:t>
      </w:r>
      <w:r>
        <w:t>: Consejo de Administración de TELCOR, S.A.</w:t>
      </w:r>
      <w:r>
        <w:br/>
        <w:t xml:space="preserve">• </w:t>
      </w:r>
      <w:r w:rsidRPr="000D4A2F">
        <w:rPr>
          <w:b/>
          <w:bCs/>
        </w:rPr>
        <w:t>Finalidad</w:t>
      </w:r>
      <w:r>
        <w:t>: Gestión de datos de denuncias recibidas sobre conductas irregulares, infracciones incumplimientos normativos relacionados con la actividad desempeñada por la empresa.</w:t>
      </w:r>
      <w:r>
        <w:br/>
        <w:t xml:space="preserve">• </w:t>
      </w:r>
      <w:r w:rsidRPr="000D4A2F">
        <w:rPr>
          <w:b/>
          <w:bCs/>
        </w:rPr>
        <w:t>Legitimación</w:t>
      </w:r>
      <w:r>
        <w:t xml:space="preserve">: Consentimiento expreso del usuario. Obligación legal para el </w:t>
      </w:r>
      <w:proofErr w:type="gramStart"/>
      <w:r>
        <w:t>Responsable</w:t>
      </w:r>
      <w:proofErr w:type="gramEnd"/>
      <w:r>
        <w:t xml:space="preserve"> de Tratamiento.</w:t>
      </w:r>
      <w:r>
        <w:br/>
        <w:t xml:space="preserve">• </w:t>
      </w:r>
      <w:r w:rsidRPr="000D4A2F">
        <w:rPr>
          <w:b/>
          <w:bCs/>
        </w:rPr>
        <w:t>Destinatarios</w:t>
      </w:r>
      <w:r>
        <w:t>: Los datos podrán ser comunicados a las sociedades de</w:t>
      </w:r>
      <w:r w:rsidR="00297174">
        <w:t xml:space="preserve"> </w:t>
      </w:r>
      <w:r>
        <w:t>TELCOR, S.A., así como a organismos judiciales o administraciones con competencia en la materia.</w:t>
      </w:r>
    </w:p>
    <w:p w:rsidR="000D4A2F" w:rsidRDefault="000D4A2F" w:rsidP="00F93B3C">
      <w:pPr>
        <w:spacing w:after="0" w:line="276" w:lineRule="auto"/>
        <w:jc w:val="both"/>
      </w:pPr>
      <w:r>
        <w:lastRenderedPageBreak/>
        <w:br/>
        <w:t xml:space="preserve">• </w:t>
      </w:r>
      <w:r w:rsidRPr="00B559EB">
        <w:rPr>
          <w:b/>
          <w:bCs/>
        </w:rPr>
        <w:t>Derechos</w:t>
      </w:r>
      <w:r>
        <w:t xml:space="preserve">: Acceder, rectificación, supresión, portabilidad, limitación u oposición al </w:t>
      </w:r>
      <w:r w:rsidR="00A23CD4">
        <w:t>tratamiento,</w:t>
      </w:r>
      <w:r>
        <w:t xml:space="preserve"> así como cualesquier otro reconocido por la normativa de protección de datos.</w:t>
      </w:r>
      <w:r>
        <w:br/>
        <w:t xml:space="preserve">• </w:t>
      </w:r>
      <w:r w:rsidRPr="00B559EB">
        <w:rPr>
          <w:b/>
          <w:bCs/>
        </w:rPr>
        <w:t>Información adicional</w:t>
      </w:r>
      <w:r>
        <w:t xml:space="preserve">: Puede ampliar la información sobre el tratamiento de datos personales </w:t>
      </w:r>
      <w:r w:rsidR="002B5010">
        <w:t>accediendo a la</w:t>
      </w:r>
      <w:r>
        <w:t xml:space="preserve"> </w:t>
      </w:r>
      <w:hyperlink r:id="rId11" w:history="1">
        <w:r w:rsidRPr="00A23CD4">
          <w:rPr>
            <w:rStyle w:val="Hipervnculo"/>
          </w:rPr>
          <w:t>Política de Privacidad</w:t>
        </w:r>
      </w:hyperlink>
      <w:r>
        <w:t>.</w:t>
      </w:r>
    </w:p>
    <w:p w:rsidR="0057606C" w:rsidRDefault="0057606C" w:rsidP="00F93B3C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57606C" w:rsidRDefault="0057606C" w:rsidP="00F93B3C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1F07ED" w:rsidRPr="000A6CDA" w:rsidRDefault="000A6CDA" w:rsidP="000A6CDA">
      <w:pPr>
        <w:pStyle w:val="Prrafodelista"/>
        <w:numPr>
          <w:ilvl w:val="0"/>
          <w:numId w:val="9"/>
        </w:numPr>
        <w:spacing w:after="0" w:line="276" w:lineRule="auto"/>
        <w:ind w:left="567" w:hanging="568"/>
        <w:rPr>
          <w:b/>
          <w:bCs/>
        </w:rPr>
      </w:pPr>
      <w:r w:rsidRPr="000A6CDA">
        <w:rPr>
          <w:b/>
          <w:bCs/>
          <w:sz w:val="24"/>
          <w:szCs w:val="24"/>
        </w:rPr>
        <w:t>ENTRADA</w:t>
      </w:r>
      <w:r w:rsidRPr="000A6CDA">
        <w:rPr>
          <w:b/>
          <w:bCs/>
        </w:rPr>
        <w:t xml:space="preserve"> </w:t>
      </w:r>
      <w:r w:rsidRPr="000A6CDA">
        <w:rPr>
          <w:b/>
          <w:bCs/>
          <w:sz w:val="24"/>
          <w:szCs w:val="24"/>
        </w:rPr>
        <w:t>EN VIGOR Y REVISIÓN</w:t>
      </w:r>
      <w:r w:rsidRPr="000A6CDA">
        <w:rPr>
          <w:b/>
          <w:bCs/>
        </w:rPr>
        <w:t xml:space="preserve"> </w:t>
      </w:r>
    </w:p>
    <w:p w:rsidR="00484A03" w:rsidRDefault="00484A03" w:rsidP="00F93B3C">
      <w:pPr>
        <w:spacing w:line="276" w:lineRule="auto"/>
      </w:pPr>
    </w:p>
    <w:p w:rsidR="00B559EB" w:rsidRPr="00B559EB" w:rsidRDefault="00B559EB" w:rsidP="00F93B3C">
      <w:pPr>
        <w:spacing w:line="276" w:lineRule="auto"/>
        <w:jc w:val="both"/>
      </w:pPr>
      <w:r w:rsidRPr="002B5010">
        <w:t>Este procedimiento entrará en vigor a partir del día siguiente a la fecha de aprobación por el Consejo de Administración.</w:t>
      </w:r>
    </w:p>
    <w:p w:rsidR="002852E1" w:rsidRDefault="00484A03" w:rsidP="00F93B3C">
      <w:pPr>
        <w:spacing w:line="276" w:lineRule="auto"/>
        <w:jc w:val="both"/>
      </w:pPr>
      <w:r w:rsidRPr="002B5010">
        <w:t>El Comité de Cumplimiento</w:t>
      </w:r>
      <w:r w:rsidR="00B559EB" w:rsidRPr="002B5010">
        <w:t xml:space="preserve"> y </w:t>
      </w:r>
      <w:r w:rsidR="002852E1">
        <w:t xml:space="preserve">Responsabilidad Social Corporativa </w:t>
      </w:r>
      <w:r w:rsidR="002852E1" w:rsidRPr="002B5010">
        <w:t>revisarán</w:t>
      </w:r>
      <w:r w:rsidRPr="002B5010">
        <w:t xml:space="preserve"> periódicamente el </w:t>
      </w:r>
      <w:r w:rsidR="002852E1">
        <w:t xml:space="preserve">presente procedimiento, en especial en caso de existir una modificación del manual de Cumplimiento Normativo, Código Ético, Código de Conducta de Proveedores, o también cuando se evidencie, en la práctica, la necesidad de mejoras. </w:t>
      </w:r>
    </w:p>
    <w:p w:rsidR="004713B3" w:rsidRDefault="004713B3" w:rsidP="00F93B3C">
      <w:pPr>
        <w:spacing w:line="276" w:lineRule="auto"/>
      </w:pPr>
    </w:p>
    <w:sectPr w:rsidR="004713B3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57E3" w:rsidRDefault="008D57E3" w:rsidP="008D57E3">
      <w:pPr>
        <w:spacing w:after="0" w:line="240" w:lineRule="auto"/>
      </w:pPr>
      <w:r>
        <w:separator/>
      </w:r>
    </w:p>
  </w:endnote>
  <w:endnote w:type="continuationSeparator" w:id="0">
    <w:p w:rsidR="008D57E3" w:rsidRDefault="008D57E3" w:rsidP="008D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925" w:type="dxa"/>
      <w:tblInd w:w="-5" w:type="dxa"/>
      <w:tblLook w:val="04A0" w:firstRow="1" w:lastRow="0" w:firstColumn="1" w:lastColumn="0" w:noHBand="0" w:noVBand="1"/>
    </w:tblPr>
    <w:tblGrid>
      <w:gridCol w:w="2553"/>
      <w:gridCol w:w="2949"/>
      <w:gridCol w:w="885"/>
      <w:gridCol w:w="1837"/>
      <w:gridCol w:w="701"/>
    </w:tblGrid>
    <w:tr w:rsidR="00943B59" w:rsidTr="00A23CD4">
      <w:tc>
        <w:tcPr>
          <w:tcW w:w="2553" w:type="dxa"/>
        </w:tcPr>
        <w:p w:rsidR="00943B59" w:rsidRPr="0037596E" w:rsidRDefault="00943B59">
          <w:pPr>
            <w:pStyle w:val="Piedepgina"/>
            <w:rPr>
              <w:b/>
              <w:bCs/>
              <w:sz w:val="18"/>
              <w:szCs w:val="18"/>
            </w:rPr>
          </w:pPr>
          <w:r w:rsidRPr="0037596E">
            <w:rPr>
              <w:b/>
              <w:bCs/>
              <w:sz w:val="18"/>
              <w:szCs w:val="18"/>
            </w:rPr>
            <w:t>AUTOR</w:t>
          </w:r>
        </w:p>
      </w:tc>
      <w:tc>
        <w:tcPr>
          <w:tcW w:w="2949" w:type="dxa"/>
        </w:tcPr>
        <w:p w:rsidR="00943B59" w:rsidRPr="0037596E" w:rsidRDefault="00943B59">
          <w:pPr>
            <w:pStyle w:val="Piedepgina"/>
            <w:rPr>
              <w:b/>
              <w:bCs/>
              <w:sz w:val="18"/>
              <w:szCs w:val="18"/>
            </w:rPr>
          </w:pPr>
          <w:r w:rsidRPr="0037596E">
            <w:rPr>
              <w:b/>
              <w:bCs/>
              <w:sz w:val="18"/>
              <w:szCs w:val="18"/>
            </w:rPr>
            <w:t>APROBADO POR</w:t>
          </w:r>
        </w:p>
      </w:tc>
      <w:tc>
        <w:tcPr>
          <w:tcW w:w="885" w:type="dxa"/>
        </w:tcPr>
        <w:p w:rsidR="00943B59" w:rsidRPr="0037596E" w:rsidRDefault="00943B59">
          <w:pPr>
            <w:pStyle w:val="Piedepgina"/>
            <w:rPr>
              <w:b/>
              <w:bCs/>
              <w:sz w:val="18"/>
              <w:szCs w:val="18"/>
            </w:rPr>
          </w:pPr>
          <w:r w:rsidRPr="0037596E">
            <w:rPr>
              <w:b/>
              <w:bCs/>
              <w:sz w:val="18"/>
              <w:szCs w:val="18"/>
            </w:rPr>
            <w:t>VERSION</w:t>
          </w:r>
        </w:p>
      </w:tc>
      <w:tc>
        <w:tcPr>
          <w:tcW w:w="1837" w:type="dxa"/>
        </w:tcPr>
        <w:p w:rsidR="00943B59" w:rsidRPr="0037596E" w:rsidRDefault="00943B59">
          <w:pPr>
            <w:pStyle w:val="Piedepgina"/>
            <w:rPr>
              <w:b/>
              <w:bCs/>
              <w:sz w:val="18"/>
              <w:szCs w:val="18"/>
            </w:rPr>
          </w:pPr>
          <w:r w:rsidRPr="0037596E">
            <w:rPr>
              <w:b/>
              <w:bCs/>
              <w:sz w:val="18"/>
              <w:szCs w:val="18"/>
            </w:rPr>
            <w:t xml:space="preserve">FECHA </w:t>
          </w:r>
          <w:r w:rsidR="00551016">
            <w:rPr>
              <w:b/>
              <w:bCs/>
              <w:sz w:val="18"/>
              <w:szCs w:val="18"/>
            </w:rPr>
            <w:t>APROBACIÓN</w:t>
          </w:r>
        </w:p>
      </w:tc>
      <w:tc>
        <w:tcPr>
          <w:tcW w:w="701" w:type="dxa"/>
        </w:tcPr>
        <w:p w:rsidR="00943B59" w:rsidRPr="0037596E" w:rsidRDefault="00943B59">
          <w:pPr>
            <w:pStyle w:val="Piedepgina"/>
            <w:rPr>
              <w:b/>
              <w:bCs/>
            </w:rPr>
          </w:pPr>
          <w:r w:rsidRPr="0037596E">
            <w:rPr>
              <w:b/>
              <w:bCs/>
              <w:sz w:val="18"/>
              <w:szCs w:val="18"/>
            </w:rPr>
            <w:t>HOJA</w:t>
          </w:r>
        </w:p>
      </w:tc>
    </w:tr>
    <w:tr w:rsidR="00943B59" w:rsidTr="00A23CD4">
      <w:tc>
        <w:tcPr>
          <w:tcW w:w="2553" w:type="dxa"/>
        </w:tcPr>
        <w:p w:rsidR="00943B59" w:rsidRPr="008D57E3" w:rsidRDefault="00943B59">
          <w:pPr>
            <w:pStyle w:val="Piedepgina"/>
            <w:rPr>
              <w:sz w:val="18"/>
              <w:szCs w:val="18"/>
            </w:rPr>
          </w:pPr>
          <w:r w:rsidRPr="008D57E3">
            <w:rPr>
              <w:sz w:val="18"/>
              <w:szCs w:val="18"/>
            </w:rPr>
            <w:t>Comité de Cumplimiento y RSC</w:t>
          </w:r>
        </w:p>
      </w:tc>
      <w:tc>
        <w:tcPr>
          <w:tcW w:w="2949" w:type="dxa"/>
        </w:tcPr>
        <w:p w:rsidR="00943B59" w:rsidRPr="008D57E3" w:rsidRDefault="00943B59">
          <w:pPr>
            <w:pStyle w:val="Piedepgina"/>
            <w:rPr>
              <w:sz w:val="18"/>
              <w:szCs w:val="18"/>
            </w:rPr>
          </w:pPr>
          <w:r w:rsidRPr="008D57E3">
            <w:rPr>
              <w:sz w:val="18"/>
              <w:szCs w:val="18"/>
            </w:rPr>
            <w:t>Consejo Administración</w:t>
          </w:r>
          <w:r w:rsidR="00172A9E">
            <w:rPr>
              <w:sz w:val="18"/>
              <w:szCs w:val="18"/>
            </w:rPr>
            <w:t xml:space="preserve"> TELCOR, S.A.</w:t>
          </w:r>
        </w:p>
      </w:tc>
      <w:tc>
        <w:tcPr>
          <w:tcW w:w="885" w:type="dxa"/>
        </w:tcPr>
        <w:p w:rsidR="00943B59" w:rsidRDefault="00943B59">
          <w:pPr>
            <w:pStyle w:val="Piedepgina"/>
          </w:pPr>
          <w:r w:rsidRPr="00943B59">
            <w:rPr>
              <w:sz w:val="18"/>
              <w:szCs w:val="18"/>
            </w:rPr>
            <w:t>01</w:t>
          </w:r>
        </w:p>
      </w:tc>
      <w:tc>
        <w:tcPr>
          <w:tcW w:w="1837" w:type="dxa"/>
        </w:tcPr>
        <w:p w:rsidR="00943B59" w:rsidRPr="00551016" w:rsidRDefault="00466018">
          <w:pPr>
            <w:pStyle w:val="Piedepgina"/>
            <w:rPr>
              <w:highlight w:val="yellow"/>
            </w:rPr>
          </w:pPr>
          <w:r>
            <w:rPr>
              <w:sz w:val="18"/>
              <w:szCs w:val="18"/>
              <w:highlight w:val="yellow"/>
            </w:rPr>
            <w:t>30</w:t>
          </w:r>
          <w:r w:rsidR="00943B59" w:rsidRPr="00551016">
            <w:rPr>
              <w:sz w:val="18"/>
              <w:szCs w:val="18"/>
              <w:highlight w:val="yellow"/>
            </w:rPr>
            <w:t>/06/2023</w:t>
          </w:r>
        </w:p>
      </w:tc>
      <w:tc>
        <w:tcPr>
          <w:tcW w:w="701" w:type="dxa"/>
        </w:tcPr>
        <w:p w:rsidR="00943B59" w:rsidRDefault="00943B59">
          <w:pPr>
            <w:pStyle w:val="Piedepgina"/>
          </w:pPr>
          <w:r w:rsidRPr="00943B59">
            <w:rPr>
              <w:sz w:val="18"/>
              <w:szCs w:val="18"/>
            </w:rPr>
            <w:fldChar w:fldCharType="begin"/>
          </w:r>
          <w:r w:rsidRPr="00943B59">
            <w:rPr>
              <w:sz w:val="18"/>
              <w:szCs w:val="18"/>
            </w:rPr>
            <w:instrText>PAGE   \* MERGEFORMAT</w:instrText>
          </w:r>
          <w:r w:rsidRPr="00943B59">
            <w:rPr>
              <w:sz w:val="18"/>
              <w:szCs w:val="18"/>
            </w:rPr>
            <w:fldChar w:fldCharType="separate"/>
          </w:r>
          <w:r w:rsidRPr="00943B59">
            <w:rPr>
              <w:sz w:val="18"/>
              <w:szCs w:val="18"/>
            </w:rPr>
            <w:t>1</w:t>
          </w:r>
          <w:r w:rsidRPr="00943B59">
            <w:rPr>
              <w:sz w:val="18"/>
              <w:szCs w:val="18"/>
            </w:rPr>
            <w:fldChar w:fldCharType="end"/>
          </w:r>
          <w:r w:rsidR="00F93B3C">
            <w:rPr>
              <w:sz w:val="18"/>
              <w:szCs w:val="18"/>
            </w:rPr>
            <w:t xml:space="preserve"> de </w:t>
          </w:r>
          <w:r w:rsidR="000B506F">
            <w:rPr>
              <w:sz w:val="18"/>
              <w:szCs w:val="18"/>
            </w:rPr>
            <w:t>7</w:t>
          </w:r>
        </w:p>
      </w:tc>
    </w:tr>
  </w:tbl>
  <w:p w:rsidR="008D57E3" w:rsidRDefault="008D57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57E3" w:rsidRDefault="008D57E3" w:rsidP="008D57E3">
      <w:pPr>
        <w:spacing w:after="0" w:line="240" w:lineRule="auto"/>
      </w:pPr>
      <w:r>
        <w:separator/>
      </w:r>
    </w:p>
  </w:footnote>
  <w:footnote w:type="continuationSeparator" w:id="0">
    <w:p w:rsidR="008D57E3" w:rsidRDefault="008D57E3" w:rsidP="008D5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CFA"/>
    <w:multiLevelType w:val="hybridMultilevel"/>
    <w:tmpl w:val="7D245B52"/>
    <w:lvl w:ilvl="0" w:tplc="A858E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B3C3A"/>
    <w:multiLevelType w:val="hybridMultilevel"/>
    <w:tmpl w:val="75827DAC"/>
    <w:lvl w:ilvl="0" w:tplc="D324AD8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A598F"/>
    <w:multiLevelType w:val="hybridMultilevel"/>
    <w:tmpl w:val="3F6A258A"/>
    <w:lvl w:ilvl="0" w:tplc="78D01E7E">
      <w:start w:val="3"/>
      <w:numFmt w:val="lowerRoman"/>
      <w:lvlText w:val="%1)"/>
      <w:lvlJc w:val="left"/>
      <w:pPr>
        <w:ind w:left="1080" w:hanging="720"/>
      </w:pPr>
      <w:rPr>
        <w:rFonts w:asciiTheme="minorHAnsi" w:eastAsia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40F3D"/>
    <w:multiLevelType w:val="multilevel"/>
    <w:tmpl w:val="AD10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E1E5C"/>
    <w:multiLevelType w:val="hybridMultilevel"/>
    <w:tmpl w:val="62FE2254"/>
    <w:lvl w:ilvl="0" w:tplc="102EFA5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137DB"/>
    <w:multiLevelType w:val="hybridMultilevel"/>
    <w:tmpl w:val="16C025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65161"/>
    <w:multiLevelType w:val="hybridMultilevel"/>
    <w:tmpl w:val="08E0DD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715FE"/>
    <w:multiLevelType w:val="hybridMultilevel"/>
    <w:tmpl w:val="5566B3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F4A3B"/>
    <w:multiLevelType w:val="hybridMultilevel"/>
    <w:tmpl w:val="51269D9C"/>
    <w:lvl w:ilvl="0" w:tplc="515CB4DE">
      <w:start w:val="6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67969"/>
    <w:multiLevelType w:val="hybridMultilevel"/>
    <w:tmpl w:val="2CBC727A"/>
    <w:lvl w:ilvl="0" w:tplc="DEFC0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B3A1E"/>
    <w:multiLevelType w:val="hybridMultilevel"/>
    <w:tmpl w:val="F59E4FA6"/>
    <w:lvl w:ilvl="0" w:tplc="9EDC02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93F8F"/>
    <w:multiLevelType w:val="hybridMultilevel"/>
    <w:tmpl w:val="9D949FD6"/>
    <w:lvl w:ilvl="0" w:tplc="67FCCE0E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06615"/>
    <w:multiLevelType w:val="hybridMultilevel"/>
    <w:tmpl w:val="1CA8B4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5119F"/>
    <w:multiLevelType w:val="hybridMultilevel"/>
    <w:tmpl w:val="7B5E2E10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79968419">
    <w:abstractNumId w:val="3"/>
  </w:num>
  <w:num w:numId="2" w16cid:durableId="671029248">
    <w:abstractNumId w:val="13"/>
  </w:num>
  <w:num w:numId="3" w16cid:durableId="269440334">
    <w:abstractNumId w:val="12"/>
  </w:num>
  <w:num w:numId="4" w16cid:durableId="152915216">
    <w:abstractNumId w:val="5"/>
  </w:num>
  <w:num w:numId="5" w16cid:durableId="202254332">
    <w:abstractNumId w:val="7"/>
  </w:num>
  <w:num w:numId="6" w16cid:durableId="1386491078">
    <w:abstractNumId w:val="9"/>
  </w:num>
  <w:num w:numId="7" w16cid:durableId="468547572">
    <w:abstractNumId w:val="11"/>
  </w:num>
  <w:num w:numId="8" w16cid:durableId="1337414458">
    <w:abstractNumId w:val="6"/>
  </w:num>
  <w:num w:numId="9" w16cid:durableId="357896198">
    <w:abstractNumId w:val="1"/>
  </w:num>
  <w:num w:numId="10" w16cid:durableId="1634868157">
    <w:abstractNumId w:val="0"/>
  </w:num>
  <w:num w:numId="11" w16cid:durableId="476997081">
    <w:abstractNumId w:val="4"/>
  </w:num>
  <w:num w:numId="12" w16cid:durableId="300036044">
    <w:abstractNumId w:val="10"/>
  </w:num>
  <w:num w:numId="13" w16cid:durableId="1161316781">
    <w:abstractNumId w:val="2"/>
  </w:num>
  <w:num w:numId="14" w16cid:durableId="14431907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ED"/>
    <w:rsid w:val="00055B30"/>
    <w:rsid w:val="00067A0A"/>
    <w:rsid w:val="00070DF7"/>
    <w:rsid w:val="000A351C"/>
    <w:rsid w:val="000A378B"/>
    <w:rsid w:val="000A6CDA"/>
    <w:rsid w:val="000B506F"/>
    <w:rsid w:val="000D4A2F"/>
    <w:rsid w:val="00100C77"/>
    <w:rsid w:val="00142D77"/>
    <w:rsid w:val="001575B3"/>
    <w:rsid w:val="00172A9E"/>
    <w:rsid w:val="001C3825"/>
    <w:rsid w:val="001E28D1"/>
    <w:rsid w:val="001F07ED"/>
    <w:rsid w:val="00242D06"/>
    <w:rsid w:val="00246CEB"/>
    <w:rsid w:val="0025477A"/>
    <w:rsid w:val="002852E1"/>
    <w:rsid w:val="00295D7C"/>
    <w:rsid w:val="00297174"/>
    <w:rsid w:val="002B5010"/>
    <w:rsid w:val="003178AE"/>
    <w:rsid w:val="0037596E"/>
    <w:rsid w:val="00417C68"/>
    <w:rsid w:val="00466018"/>
    <w:rsid w:val="004713B3"/>
    <w:rsid w:val="00484A03"/>
    <w:rsid w:val="004C25EB"/>
    <w:rsid w:val="004F27B2"/>
    <w:rsid w:val="0050511D"/>
    <w:rsid w:val="0054468D"/>
    <w:rsid w:val="00551016"/>
    <w:rsid w:val="005571E6"/>
    <w:rsid w:val="00573340"/>
    <w:rsid w:val="0057606C"/>
    <w:rsid w:val="00591E7B"/>
    <w:rsid w:val="005D3205"/>
    <w:rsid w:val="005F1E8E"/>
    <w:rsid w:val="005F3008"/>
    <w:rsid w:val="00603FDB"/>
    <w:rsid w:val="00621FC9"/>
    <w:rsid w:val="00686308"/>
    <w:rsid w:val="006A0E27"/>
    <w:rsid w:val="006B718B"/>
    <w:rsid w:val="006B7C74"/>
    <w:rsid w:val="006C5763"/>
    <w:rsid w:val="0074772F"/>
    <w:rsid w:val="007912C0"/>
    <w:rsid w:val="007C1247"/>
    <w:rsid w:val="007E4671"/>
    <w:rsid w:val="007E6B60"/>
    <w:rsid w:val="007F631A"/>
    <w:rsid w:val="00814B67"/>
    <w:rsid w:val="00893326"/>
    <w:rsid w:val="008C1AC0"/>
    <w:rsid w:val="008C6E78"/>
    <w:rsid w:val="008D57E3"/>
    <w:rsid w:val="00924D5A"/>
    <w:rsid w:val="00943B59"/>
    <w:rsid w:val="00945AB6"/>
    <w:rsid w:val="00945C0F"/>
    <w:rsid w:val="00965B2C"/>
    <w:rsid w:val="009D0CE0"/>
    <w:rsid w:val="009D10B8"/>
    <w:rsid w:val="00A23CD4"/>
    <w:rsid w:val="00A37FB0"/>
    <w:rsid w:val="00A631A4"/>
    <w:rsid w:val="00A65692"/>
    <w:rsid w:val="00A9211B"/>
    <w:rsid w:val="00AB61DD"/>
    <w:rsid w:val="00AD740E"/>
    <w:rsid w:val="00B559EB"/>
    <w:rsid w:val="00BA6B17"/>
    <w:rsid w:val="00BF6A59"/>
    <w:rsid w:val="00C10727"/>
    <w:rsid w:val="00C30B05"/>
    <w:rsid w:val="00C73193"/>
    <w:rsid w:val="00CB417F"/>
    <w:rsid w:val="00CB6303"/>
    <w:rsid w:val="00CC044E"/>
    <w:rsid w:val="00CD243A"/>
    <w:rsid w:val="00CD76C4"/>
    <w:rsid w:val="00CF1038"/>
    <w:rsid w:val="00D1636D"/>
    <w:rsid w:val="00D557DB"/>
    <w:rsid w:val="00D7105E"/>
    <w:rsid w:val="00DC45EE"/>
    <w:rsid w:val="00DD61AF"/>
    <w:rsid w:val="00DE1860"/>
    <w:rsid w:val="00DF5C7A"/>
    <w:rsid w:val="00E34E56"/>
    <w:rsid w:val="00E45315"/>
    <w:rsid w:val="00E62501"/>
    <w:rsid w:val="00E770EE"/>
    <w:rsid w:val="00E843D6"/>
    <w:rsid w:val="00EA67CA"/>
    <w:rsid w:val="00EE61A1"/>
    <w:rsid w:val="00F01599"/>
    <w:rsid w:val="00F25FA9"/>
    <w:rsid w:val="00F851D3"/>
    <w:rsid w:val="00F93B3C"/>
    <w:rsid w:val="00FB37C0"/>
    <w:rsid w:val="00FC1585"/>
    <w:rsid w:val="00FE0AE9"/>
    <w:rsid w:val="00FE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70A40B1"/>
  <w15:chartTrackingRefBased/>
  <w15:docId w15:val="{45464383-4488-4FE1-A7C1-96968FDF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-denuncias">
    <w:name w:val="titulo-denuncias"/>
    <w:basedOn w:val="Normal"/>
    <w:rsid w:val="001F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F07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07E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07ED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5F3008"/>
  </w:style>
  <w:style w:type="paragraph" w:styleId="Encabezado">
    <w:name w:val="header"/>
    <w:basedOn w:val="Normal"/>
    <w:link w:val="EncabezadoCar"/>
    <w:uiPriority w:val="99"/>
    <w:unhideWhenUsed/>
    <w:rsid w:val="008D5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57E3"/>
  </w:style>
  <w:style w:type="paragraph" w:styleId="Piedepgina">
    <w:name w:val="footer"/>
    <w:basedOn w:val="Normal"/>
    <w:link w:val="PiedepginaCar"/>
    <w:uiPriority w:val="99"/>
    <w:unhideWhenUsed/>
    <w:rsid w:val="008D5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7E3"/>
  </w:style>
  <w:style w:type="table" w:styleId="Tablaconcuadrcula">
    <w:name w:val="Table Grid"/>
    <w:basedOn w:val="Tablanormal"/>
    <w:uiPriority w:val="39"/>
    <w:rsid w:val="008D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351C"/>
    <w:pPr>
      <w:autoSpaceDE w:val="0"/>
      <w:autoSpaceDN w:val="0"/>
      <w:adjustRightInd w:val="0"/>
      <w:spacing w:after="0" w:line="240" w:lineRule="auto"/>
    </w:pPr>
    <w:rPr>
      <w:rFonts w:ascii="Barlow Semi Condensed" w:hAnsi="Barlow Semi Condensed" w:cs="Barlow Semi Condensed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14B6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95D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vescorporation.com/corporativo/empresa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al.televes.com/webs/whistleblowing-telcor-privacy.php?lang=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naldenuncias@televescorporati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leves.com/es/empresa/redcomercial/ins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AA605-1D6B-4FB3-BCD1-F1A9013C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2375</Words>
  <Characters>13064</Characters>
  <Application>Microsoft Office Word</Application>
  <DocSecurity>4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TVES_ Martín Esparís</dc:creator>
  <cp:keywords/>
  <dc:description/>
  <cp:lastModifiedBy>Martín Esparís</cp:lastModifiedBy>
  <cp:revision>2</cp:revision>
  <cp:lastPrinted>2023-04-24T10:32:00Z</cp:lastPrinted>
  <dcterms:created xsi:type="dcterms:W3CDTF">2023-06-02T09:10:00Z</dcterms:created>
  <dcterms:modified xsi:type="dcterms:W3CDTF">2023-06-02T09:10:00Z</dcterms:modified>
</cp:coreProperties>
</file>